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033F" w14:textId="7178643C" w:rsidR="007C75DF" w:rsidRPr="003D0400" w:rsidRDefault="007C75DF">
      <w:pPr>
        <w:rPr>
          <w:rFonts w:ascii="Tahoma" w:hAnsi="Tahoma" w:cs="Tahoma"/>
          <w:b/>
          <w:color w:val="000000" w:themeColor="text1"/>
          <w:sz w:val="20"/>
          <w:szCs w:val="20"/>
        </w:rPr>
      </w:pPr>
      <w:bookmarkStart w:id="0" w:name="_GoBack"/>
      <w:bookmarkEnd w:id="0"/>
      <w:r w:rsidRPr="003D0400">
        <w:rPr>
          <w:rFonts w:ascii="Tahoma" w:hAnsi="Tahoma" w:cs="Tahoma"/>
          <w:b/>
          <w:color w:val="000000" w:themeColor="text1"/>
          <w:sz w:val="20"/>
          <w:szCs w:val="20"/>
        </w:rPr>
        <w:t>Project Lessons Learned Report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8"/>
        <w:gridCol w:w="2470"/>
        <w:gridCol w:w="238"/>
        <w:gridCol w:w="1038"/>
        <w:gridCol w:w="1721"/>
        <w:gridCol w:w="3420"/>
      </w:tblGrid>
      <w:tr w:rsidR="003D0400" w:rsidRPr="003D0400" w14:paraId="23049C50" w14:textId="77777777" w:rsidTr="00B66F00">
        <w:tc>
          <w:tcPr>
            <w:tcW w:w="3176" w:type="dxa"/>
            <w:gridSpan w:val="3"/>
            <w:shd w:val="clear" w:color="auto" w:fill="E7E6E6" w:themeFill="background2"/>
          </w:tcPr>
          <w:p w14:paraId="0CFE4CE6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Name:</w:t>
            </w:r>
          </w:p>
        </w:tc>
        <w:tc>
          <w:tcPr>
            <w:tcW w:w="6179" w:type="dxa"/>
            <w:gridSpan w:val="3"/>
          </w:tcPr>
          <w:p w14:paraId="12D8D233" w14:textId="3A8BEB85" w:rsidR="007C75DF" w:rsidRPr="009037B8" w:rsidRDefault="00D22B2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Sample2 Project</w:t>
            </w:r>
          </w:p>
        </w:tc>
      </w:tr>
      <w:tr w:rsidR="003D0400" w:rsidRPr="003D0400" w14:paraId="3C005E36" w14:textId="77777777" w:rsidTr="00B66F00">
        <w:tc>
          <w:tcPr>
            <w:tcW w:w="3176" w:type="dxa"/>
            <w:gridSpan w:val="3"/>
            <w:shd w:val="clear" w:color="auto" w:fill="E7E6E6" w:themeFill="background2"/>
          </w:tcPr>
          <w:p w14:paraId="02ED5BDE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Prepared By:</w:t>
            </w:r>
          </w:p>
        </w:tc>
        <w:tc>
          <w:tcPr>
            <w:tcW w:w="6179" w:type="dxa"/>
            <w:gridSpan w:val="3"/>
          </w:tcPr>
          <w:p w14:paraId="66EA0CF7" w14:textId="103BCCD3" w:rsidR="007C75DF" w:rsidRPr="009037B8" w:rsidRDefault="006B29DC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Abi Atolagbe-Olaoye</w:t>
            </w:r>
          </w:p>
        </w:tc>
      </w:tr>
      <w:tr w:rsidR="003D0400" w:rsidRPr="003D0400" w14:paraId="05B49B1E" w14:textId="77777777" w:rsidTr="00B66F00">
        <w:tc>
          <w:tcPr>
            <w:tcW w:w="3176" w:type="dxa"/>
            <w:gridSpan w:val="3"/>
            <w:shd w:val="clear" w:color="auto" w:fill="E7E6E6" w:themeFill="background2"/>
          </w:tcPr>
          <w:p w14:paraId="752B1F78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6179" w:type="dxa"/>
            <w:gridSpan w:val="3"/>
          </w:tcPr>
          <w:p w14:paraId="12634757" w14:textId="479AF99E" w:rsidR="007C75DF" w:rsidRPr="009037B8" w:rsidRDefault="009B5817" w:rsidP="00564D84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9/</w:t>
            </w:r>
            <w:r w:rsidR="00564D84">
              <w:rPr>
                <w:rFonts w:ascii="Tahoma" w:hAnsi="Tahoma" w:cs="Tahoma"/>
                <w:color w:val="000000" w:themeColor="text1"/>
                <w:sz w:val="18"/>
                <w:szCs w:val="18"/>
              </w:rPr>
              <w:t>18</w:t>
            </w:r>
            <w:r w:rsidR="009E383F">
              <w:rPr>
                <w:rFonts w:ascii="Tahoma" w:hAnsi="Tahoma" w:cs="Tahoma"/>
                <w:color w:val="000000" w:themeColor="text1"/>
                <w:sz w:val="18"/>
                <w:szCs w:val="18"/>
              </w:rPr>
              <w:t>/2019</w:t>
            </w:r>
          </w:p>
        </w:tc>
      </w:tr>
      <w:tr w:rsidR="003D0400" w:rsidRPr="003D0400" w14:paraId="680ADF96" w14:textId="77777777" w:rsidTr="00FD5D97">
        <w:tc>
          <w:tcPr>
            <w:tcW w:w="9355" w:type="dxa"/>
            <w:gridSpan w:val="6"/>
            <w:shd w:val="clear" w:color="auto" w:fill="33CC33"/>
          </w:tcPr>
          <w:p w14:paraId="7392F696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Project Close-Out Discussions</w:t>
            </w:r>
          </w:p>
        </w:tc>
      </w:tr>
      <w:tr w:rsidR="003D0400" w:rsidRPr="003D0400" w14:paraId="50730871" w14:textId="77777777" w:rsidTr="00FD5D97">
        <w:tc>
          <w:tcPr>
            <w:tcW w:w="9355" w:type="dxa"/>
            <w:gridSpan w:val="6"/>
          </w:tcPr>
          <w:p w14:paraId="04306A84" w14:textId="4894A541" w:rsidR="007C75DF" w:rsidRPr="009037B8" w:rsidRDefault="0016384A" w:rsidP="009B5817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A lesson</w:t>
            </w:r>
            <w:r w:rsidR="007566B9">
              <w:rPr>
                <w:rFonts w:ascii="Tahoma" w:hAnsi="Tahoma" w:cs="Tahoma"/>
                <w:color w:val="000000" w:themeColor="text1"/>
                <w:sz w:val="18"/>
                <w:szCs w:val="18"/>
              </w:rPr>
              <w:t>s-</w:t>
            </w:r>
            <w:r w:rsidR="007C75DF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>learned meeting was held on</w:t>
            </w:r>
            <w:r w:rsidR="009F2A28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9B5817">
              <w:rPr>
                <w:rFonts w:ascii="Tahoma" w:hAnsi="Tahoma" w:cs="Tahoma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/</w:t>
            </w:r>
            <w:r w:rsidR="00564D84">
              <w:rPr>
                <w:rFonts w:ascii="Tahoma" w:hAnsi="Tahoma" w:cs="Tahoma"/>
                <w:color w:val="000000" w:themeColor="text1"/>
                <w:sz w:val="18"/>
                <w:szCs w:val="18"/>
              </w:rPr>
              <w:t>18</w:t>
            </w:r>
            <w:r w:rsidR="0086677D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>/201</w:t>
            </w:r>
            <w:r w:rsidR="00FE2745">
              <w:rPr>
                <w:rFonts w:ascii="Tahoma" w:hAnsi="Tahoma" w:cs="Tahoma"/>
                <w:color w:val="000000" w:themeColor="text1"/>
                <w:sz w:val="18"/>
                <w:szCs w:val="18"/>
              </w:rPr>
              <w:t>9</w:t>
            </w:r>
            <w:r w:rsidR="00EF03A8">
              <w:rPr>
                <w:rFonts w:ascii="Tahoma" w:hAnsi="Tahoma" w:cs="Tahoma"/>
                <w:color w:val="000000" w:themeColor="text1"/>
                <w:sz w:val="18"/>
                <w:szCs w:val="18"/>
              </w:rPr>
              <w:t>,</w:t>
            </w:r>
            <w:r w:rsidR="00FE2745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3D0400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>and the initial summary is</w:t>
            </w:r>
            <w:r w:rsidR="007C75DF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attached herewith.</w:t>
            </w:r>
          </w:p>
        </w:tc>
      </w:tr>
      <w:tr w:rsidR="003D0400" w:rsidRPr="003D0400" w14:paraId="2CE62C8F" w14:textId="77777777" w:rsidTr="00D22B23">
        <w:trPr>
          <w:trHeight w:val="1118"/>
        </w:trPr>
        <w:tc>
          <w:tcPr>
            <w:tcW w:w="4214" w:type="dxa"/>
            <w:gridSpan w:val="4"/>
          </w:tcPr>
          <w:p w14:paraId="6817C39F" w14:textId="4F3BA089" w:rsidR="007C75DF" w:rsidRPr="003D0400" w:rsidRDefault="000E54F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Team:</w:t>
            </w:r>
          </w:p>
        </w:tc>
        <w:tc>
          <w:tcPr>
            <w:tcW w:w="5141" w:type="dxa"/>
            <w:gridSpan w:val="2"/>
          </w:tcPr>
          <w:p w14:paraId="72B88C2A" w14:textId="349F067C" w:rsidR="009B5817" w:rsidRPr="00F21DE4" w:rsidRDefault="000E54FD" w:rsidP="00FD10AB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Doris </w:t>
            </w:r>
            <w:r w:rsidR="00153313">
              <w:rPr>
                <w:rFonts w:ascii="Tahoma" w:hAnsi="Tahoma" w:cs="Tahom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oles</w:t>
            </w:r>
            <w:r w:rsidR="0015331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, Philip </w:t>
            </w:r>
            <w:proofErr w:type="spellStart"/>
            <w:r w:rsidR="00153313">
              <w:rPr>
                <w:rFonts w:ascii="Tahoma" w:hAnsi="Tahoma" w:cs="Tahoma"/>
                <w:color w:val="000000" w:themeColor="text1"/>
                <w:sz w:val="18"/>
                <w:szCs w:val="18"/>
              </w:rPr>
              <w:t>Cantello</w:t>
            </w:r>
            <w:proofErr w:type="spellEnd"/>
            <w:r w:rsidR="0015331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, Abi Atolagbe-Olaoye, Race Scott,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James Jones</w:t>
            </w:r>
            <w:r w:rsidR="0015331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Amy</w:t>
            </w:r>
            <w:r w:rsidR="0015331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Clarence</w:t>
            </w:r>
            <w:r w:rsidR="0015331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John Doe</w:t>
            </w:r>
            <w:r w:rsidR="0015331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, </w:t>
            </w:r>
            <w:r w:rsidR="00FD10AB">
              <w:rPr>
                <w:rFonts w:ascii="Tahoma" w:hAnsi="Tahoma" w:cs="Tahoma"/>
                <w:color w:val="000000" w:themeColor="text1"/>
                <w:sz w:val="18"/>
                <w:szCs w:val="18"/>
              </w:rPr>
              <w:t>Joe</w:t>
            </w:r>
            <w:r w:rsidR="0015331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FD10A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Rodriguez, Michelle </w:t>
            </w:r>
            <w:proofErr w:type="spellStart"/>
            <w:r w:rsidR="00FD10AB">
              <w:rPr>
                <w:rFonts w:ascii="Tahoma" w:hAnsi="Tahoma" w:cs="Tahoma"/>
                <w:color w:val="000000" w:themeColor="text1"/>
                <w:sz w:val="18"/>
                <w:szCs w:val="18"/>
              </w:rPr>
              <w:t>Faud</w:t>
            </w:r>
            <w:r w:rsidR="00D62D86">
              <w:rPr>
                <w:rFonts w:ascii="Tahoma" w:hAnsi="Tahoma" w:cs="Tahoma"/>
                <w:color w:val="000000" w:themeColor="text1"/>
                <w:sz w:val="18"/>
                <w:szCs w:val="18"/>
              </w:rPr>
              <w:t>eil</w:t>
            </w:r>
            <w:proofErr w:type="spellEnd"/>
          </w:p>
        </w:tc>
      </w:tr>
      <w:tr w:rsidR="003D0400" w:rsidRPr="001E348C" w14:paraId="624DE895" w14:textId="77777777" w:rsidTr="00B66F00">
        <w:tc>
          <w:tcPr>
            <w:tcW w:w="4214" w:type="dxa"/>
            <w:gridSpan w:val="4"/>
          </w:tcPr>
          <w:p w14:paraId="154822D3" w14:textId="77777777" w:rsidR="00C57724" w:rsidRPr="001E348C" w:rsidRDefault="00C57724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Background:</w:t>
            </w:r>
          </w:p>
        </w:tc>
        <w:tc>
          <w:tcPr>
            <w:tcW w:w="5141" w:type="dxa"/>
            <w:gridSpan w:val="2"/>
          </w:tcPr>
          <w:p w14:paraId="0B6CA6F6" w14:textId="3718F1F6" w:rsidR="0016384A" w:rsidRPr="009B5817" w:rsidRDefault="00D22B23" w:rsidP="009B5817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sz w:val="20"/>
              </w:rPr>
              <w:t>The organization</w:t>
            </w:r>
            <w:r w:rsidR="009B5817" w:rsidRPr="00F06FDF">
              <w:rPr>
                <w:rFonts w:ascii="Arial" w:hAnsi="Arial" w:cs="Arial"/>
                <w:sz w:val="20"/>
              </w:rPr>
              <w:t xml:space="preserve"> </w:t>
            </w:r>
            <w:r w:rsidR="009B5817">
              <w:rPr>
                <w:rFonts w:ascii="Arial" w:hAnsi="Arial" w:cs="Arial"/>
                <w:sz w:val="20"/>
              </w:rPr>
              <w:t xml:space="preserve">needs to enhance </w:t>
            </w:r>
            <w:r w:rsidR="009B5817" w:rsidRPr="00F06FDF">
              <w:rPr>
                <w:rFonts w:ascii="Arial" w:hAnsi="Arial" w:cs="Arial"/>
                <w:sz w:val="20"/>
              </w:rPr>
              <w:t>security measures to secure access to applications and data, so that users (faculty, staff, and students) can logi</w:t>
            </w:r>
            <w:r>
              <w:rPr>
                <w:rFonts w:ascii="Arial" w:hAnsi="Arial" w:cs="Arial"/>
                <w:sz w:val="20"/>
              </w:rPr>
              <w:t xml:space="preserve">n from anywhere on any device. </w:t>
            </w:r>
            <w:r w:rsidR="009B5817" w:rsidRPr="00F06FDF">
              <w:rPr>
                <w:rFonts w:ascii="Arial" w:hAnsi="Arial" w:cs="Arial"/>
                <w:sz w:val="20"/>
              </w:rPr>
              <w:t>This is important in order to reduce the risk of data breaches and to ensure trusted access to sensitive data.</w:t>
            </w:r>
            <w:r w:rsidR="009B5817">
              <w:rPr>
                <w:rFonts w:ascii="Arial" w:hAnsi="Arial" w:cs="Arial"/>
                <w:sz w:val="20"/>
              </w:rPr>
              <w:t xml:space="preserve"> </w:t>
            </w:r>
            <w:r w:rsidR="009B5817" w:rsidRPr="00F06FDF">
              <w:rPr>
                <w:rFonts w:ascii="Arial" w:hAnsi="Arial" w:cs="Arial"/>
                <w:color w:val="000000" w:themeColor="text1"/>
                <w:sz w:val="20"/>
              </w:rPr>
              <w:t>Th</w:t>
            </w:r>
            <w:r w:rsidR="009B5817">
              <w:rPr>
                <w:rFonts w:ascii="Arial" w:hAnsi="Arial" w:cs="Arial"/>
                <w:color w:val="000000" w:themeColor="text1"/>
                <w:sz w:val="20"/>
              </w:rPr>
              <w:t xml:space="preserve">e Multi-Factor Authentication (MFA) </w:t>
            </w:r>
            <w:r w:rsidR="009B5817" w:rsidRPr="00F06FDF">
              <w:rPr>
                <w:rFonts w:ascii="Arial" w:hAnsi="Arial" w:cs="Arial"/>
                <w:color w:val="000000" w:themeColor="text1"/>
                <w:sz w:val="20"/>
              </w:rPr>
              <w:t>solution will address many pain points with applications that require multi-factor authentication, like updating bank account in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formation for direct deposit. </w:t>
            </w:r>
            <w:r w:rsidR="009B5817" w:rsidRPr="00F06FDF">
              <w:rPr>
                <w:rFonts w:ascii="Arial" w:hAnsi="Arial" w:cs="Arial"/>
                <w:color w:val="000000" w:themeColor="text1"/>
                <w:sz w:val="20"/>
              </w:rPr>
              <w:t>This solution will also enhance the maturity of our security program, which ultimately protects our</w:t>
            </w:r>
            <w:r w:rsidR="009B5817">
              <w:rPr>
                <w:rFonts w:ascii="Arial" w:hAnsi="Arial" w:cs="Arial"/>
                <w:color w:val="000000" w:themeColor="text1"/>
                <w:sz w:val="20"/>
              </w:rPr>
              <w:t xml:space="preserve"> institutions and their users. </w:t>
            </w:r>
            <w:r w:rsidR="009B5817" w:rsidRPr="00F06FDF">
              <w:rPr>
                <w:rFonts w:ascii="Arial" w:hAnsi="Arial" w:cs="Arial"/>
                <w:color w:val="000000" w:themeColor="text1"/>
                <w:sz w:val="20"/>
              </w:rPr>
              <w:t>In addition, implementation of this solution will support compliance with the following: (1) Texas Administrative Code 202.76: Security Control Standards Catalog CP-13 (Alternative Security Mechanisms); (2) NIST 800-171: 3.5.3 Multi-Factor Authentication; (3) Recommendations from a State of Texas external review of the Texas Cybersecurity Framework: Strategic Recommendation 3.4; and, (4) Recommendations from the Intel Security Assessment of PeopleSoft.</w:t>
            </w:r>
          </w:p>
        </w:tc>
      </w:tr>
      <w:tr w:rsidR="003D0400" w:rsidRPr="001E348C" w14:paraId="7D67C240" w14:textId="77777777" w:rsidTr="00FD5D97">
        <w:tc>
          <w:tcPr>
            <w:tcW w:w="9355" w:type="dxa"/>
            <w:gridSpan w:val="6"/>
          </w:tcPr>
          <w:p w14:paraId="61E08554" w14:textId="77777777" w:rsidR="000C1658" w:rsidRPr="001E348C" w:rsidRDefault="000C1658" w:rsidP="000C1658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I. Project’s biggest successes:</w:t>
            </w:r>
          </w:p>
        </w:tc>
      </w:tr>
      <w:tr w:rsidR="003D0400" w:rsidRPr="001E348C" w14:paraId="21DD9C8E" w14:textId="77777777" w:rsidTr="00B66F00">
        <w:tc>
          <w:tcPr>
            <w:tcW w:w="4214" w:type="dxa"/>
            <w:gridSpan w:val="4"/>
          </w:tcPr>
          <w:p w14:paraId="1094102F" w14:textId="77777777" w:rsidR="007C75DF" w:rsidRPr="001E348C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141" w:type="dxa"/>
            <w:gridSpan w:val="2"/>
          </w:tcPr>
          <w:p w14:paraId="1B3D832A" w14:textId="77777777" w:rsidR="007C75DF" w:rsidRPr="001E348C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Factors that promoted this success</w:t>
            </w:r>
          </w:p>
        </w:tc>
      </w:tr>
      <w:tr w:rsidR="00B66F00" w:rsidRPr="001E348C" w14:paraId="798F6A09" w14:textId="77777777" w:rsidTr="003D6C5C">
        <w:trPr>
          <w:trHeight w:val="965"/>
        </w:trPr>
        <w:tc>
          <w:tcPr>
            <w:tcW w:w="468" w:type="dxa"/>
          </w:tcPr>
          <w:p w14:paraId="220D7CCB" w14:textId="57326EAE" w:rsidR="00B66F00" w:rsidRPr="001E348C" w:rsidRDefault="005B4DED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  <w:r w:rsidR="00B66F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746" w:type="dxa"/>
            <w:gridSpan w:val="3"/>
          </w:tcPr>
          <w:p w14:paraId="7A793329" w14:textId="26BBA2A0" w:rsidR="00B66F00" w:rsidRPr="001E348C" w:rsidRDefault="00B66F00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 strategy</w:t>
            </w:r>
          </w:p>
        </w:tc>
        <w:tc>
          <w:tcPr>
            <w:tcW w:w="5141" w:type="dxa"/>
            <w:gridSpan w:val="2"/>
          </w:tcPr>
          <w:p w14:paraId="1E6DA718" w14:textId="77777777" w:rsidR="00CE3B9B" w:rsidRDefault="00C42E51" w:rsidP="00CE3B9B">
            <w:pPr>
              <w:pStyle w:val="ListParagraph"/>
              <w:numPr>
                <w:ilvl w:val="0"/>
                <w:numId w:val="20"/>
              </w:numPr>
              <w:ind w:left="181" w:hanging="18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>An e</w:t>
            </w:r>
            <w:r w:rsidR="00B66F00" w:rsidRP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ffective strategy </w:t>
            </w:r>
            <w:r w:rsidRP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was crafted </w:t>
            </w:r>
            <w:r w:rsidR="008F115B" w:rsidRP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>to enroll approximately 2,000 employees</w:t>
            </w:r>
            <w:r w:rsidR="00CE3B9B" w:rsidRP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. </w:t>
            </w:r>
          </w:p>
          <w:p w14:paraId="16ACADAC" w14:textId="66B08F13" w:rsidR="00B66F00" w:rsidRPr="00CE3B9B" w:rsidRDefault="00CE3B9B" w:rsidP="00CE3B9B">
            <w:pPr>
              <w:pStyle w:val="ListParagraph"/>
              <w:numPr>
                <w:ilvl w:val="0"/>
                <w:numId w:val="20"/>
              </w:numPr>
              <w:ind w:left="181" w:hanging="18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>Systems were implemented as requested and dedicated individuals were assigned to resolve issues.</w:t>
            </w:r>
          </w:p>
        </w:tc>
      </w:tr>
      <w:tr w:rsidR="005B4DED" w:rsidRPr="001E348C" w14:paraId="1BF9EAAC" w14:textId="77777777" w:rsidTr="003D6C5C">
        <w:trPr>
          <w:trHeight w:val="254"/>
        </w:trPr>
        <w:tc>
          <w:tcPr>
            <w:tcW w:w="468" w:type="dxa"/>
          </w:tcPr>
          <w:p w14:paraId="428A3FC4" w14:textId="46F3B0C4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3746" w:type="dxa"/>
            <w:gridSpan w:val="3"/>
          </w:tcPr>
          <w:p w14:paraId="4CBD22C9" w14:textId="18FF73DB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 schedule</w:t>
            </w:r>
          </w:p>
        </w:tc>
        <w:tc>
          <w:tcPr>
            <w:tcW w:w="5141" w:type="dxa"/>
            <w:gridSpan w:val="2"/>
          </w:tcPr>
          <w:p w14:paraId="0EEC5808" w14:textId="781F4B4E" w:rsidR="005B4DED" w:rsidRPr="001E348C" w:rsidRDefault="008F115B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Quick implementation of project</w:t>
            </w:r>
            <w:r w:rsid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5B4DED" w:rsidRPr="001E348C" w14:paraId="6A8F3BB1" w14:textId="77777777" w:rsidTr="003D6C5C">
        <w:trPr>
          <w:trHeight w:val="533"/>
        </w:trPr>
        <w:tc>
          <w:tcPr>
            <w:tcW w:w="468" w:type="dxa"/>
          </w:tcPr>
          <w:p w14:paraId="2F976C8B" w14:textId="7072F0D5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46" w:type="dxa"/>
            <w:gridSpan w:val="3"/>
          </w:tcPr>
          <w:p w14:paraId="5F2BCCA9" w14:textId="538BBA94" w:rsidR="005B4DED" w:rsidRPr="001E348C" w:rsidRDefault="005B4DED" w:rsidP="00BD528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Business needs</w:t>
            </w:r>
          </w:p>
        </w:tc>
        <w:tc>
          <w:tcPr>
            <w:tcW w:w="5141" w:type="dxa"/>
            <w:gridSpan w:val="2"/>
          </w:tcPr>
          <w:p w14:paraId="2E576A21" w14:textId="78BBBF76" w:rsidR="005B4DED" w:rsidRPr="001E348C" w:rsidRDefault="008F115B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90% of customer’s needs were met and the team identified areas of improvement that will be enhanced soon</w:t>
            </w:r>
            <w:r w:rsid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5B4DED" w:rsidRPr="001E348C" w14:paraId="3278B69A" w14:textId="77777777" w:rsidTr="003D6C5C">
        <w:trPr>
          <w:trHeight w:val="1433"/>
        </w:trPr>
        <w:tc>
          <w:tcPr>
            <w:tcW w:w="468" w:type="dxa"/>
          </w:tcPr>
          <w:p w14:paraId="20F1F412" w14:textId="59FD651C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3746" w:type="dxa"/>
            <w:gridSpan w:val="3"/>
          </w:tcPr>
          <w:p w14:paraId="7D2D09B6" w14:textId="666FC728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Communication</w:t>
            </w:r>
          </w:p>
        </w:tc>
        <w:tc>
          <w:tcPr>
            <w:tcW w:w="5141" w:type="dxa"/>
            <w:gridSpan w:val="2"/>
          </w:tcPr>
          <w:p w14:paraId="78977EE8" w14:textId="328599B5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a. Good coordination among team members. The team members were transparent and hardworking with a</w:t>
            </w:r>
            <w:r w:rsid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good sense of responsibilities</w:t>
            </w:r>
          </w:p>
          <w:p w14:paraId="43DA8DA4" w14:textId="34E81463" w:rsidR="005B4DED" w:rsidRPr="001E348C" w:rsidRDefault="005B4DED" w:rsidP="00CE3B9B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b. </w:t>
            </w:r>
            <w:r w:rsid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Collaboration among team members to quickly workaround identified issues </w:t>
            </w:r>
            <w:r w:rsidR="00CE3B9B" w:rsidRP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– technical teams successfully communicated using </w:t>
            </w:r>
            <w:r w:rsid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MS </w:t>
            </w:r>
            <w:r w:rsidR="00CE3B9B" w:rsidRP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>TEAMS application.</w:t>
            </w:r>
            <w:r w:rsidR="00CE3B9B" w:rsidRPr="003D66FD">
              <w:rPr>
                <w:rFonts w:ascii="Times New Roman" w:hAnsi="Times New Roman" w:cs="Times New Roman"/>
                <w:color w:val="1F497D"/>
              </w:rPr>
              <w:t> </w:t>
            </w:r>
          </w:p>
        </w:tc>
      </w:tr>
      <w:tr w:rsidR="005B4DED" w:rsidRPr="001E348C" w14:paraId="13CB6E6D" w14:textId="77777777" w:rsidTr="003D6C5C">
        <w:trPr>
          <w:trHeight w:val="524"/>
        </w:trPr>
        <w:tc>
          <w:tcPr>
            <w:tcW w:w="468" w:type="dxa"/>
          </w:tcPr>
          <w:p w14:paraId="74BB2BD4" w14:textId="3957059F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5.</w:t>
            </w:r>
          </w:p>
        </w:tc>
        <w:tc>
          <w:tcPr>
            <w:tcW w:w="3746" w:type="dxa"/>
            <w:gridSpan w:val="3"/>
          </w:tcPr>
          <w:p w14:paraId="4B8D69FD" w14:textId="0FF92002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 resources</w:t>
            </w:r>
          </w:p>
        </w:tc>
        <w:tc>
          <w:tcPr>
            <w:tcW w:w="5141" w:type="dxa"/>
            <w:gridSpan w:val="2"/>
          </w:tcPr>
          <w:p w14:paraId="0B27E010" w14:textId="644BF8AB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Team members were committed with the right attitudes that led to a successful implementation of the solution.</w:t>
            </w:r>
          </w:p>
        </w:tc>
      </w:tr>
      <w:tr w:rsidR="005B4DED" w:rsidRPr="001E348C" w14:paraId="408F7BA2" w14:textId="77777777" w:rsidTr="003D6C5C">
        <w:trPr>
          <w:trHeight w:val="533"/>
        </w:trPr>
        <w:tc>
          <w:tcPr>
            <w:tcW w:w="468" w:type="dxa"/>
          </w:tcPr>
          <w:p w14:paraId="1C9E6880" w14:textId="2421DE89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3746" w:type="dxa"/>
            <w:gridSpan w:val="3"/>
          </w:tcPr>
          <w:p w14:paraId="041BC720" w14:textId="5CA1F38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Documentation</w:t>
            </w:r>
          </w:p>
        </w:tc>
        <w:tc>
          <w:tcPr>
            <w:tcW w:w="5141" w:type="dxa"/>
            <w:gridSpan w:val="2"/>
          </w:tcPr>
          <w:p w14:paraId="38B2DB2F" w14:textId="501CA5C1" w:rsidR="005B4DED" w:rsidRPr="001E348C" w:rsidRDefault="005B4DED" w:rsidP="00CE3B9B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The internal resources </w:t>
            </w:r>
            <w:r w:rsid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worked with </w:t>
            </w:r>
            <w:proofErr w:type="spellStart"/>
            <w:r w:rsid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>Appsian</w:t>
            </w:r>
            <w:proofErr w:type="spellEnd"/>
            <w:r w:rsidR="00CE3B9B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and Duo to gather the documents needed for the implementation.</w:t>
            </w:r>
          </w:p>
        </w:tc>
      </w:tr>
      <w:tr w:rsidR="005B4DED" w:rsidRPr="001E348C" w14:paraId="031B407F" w14:textId="77777777" w:rsidTr="003D6C5C">
        <w:trPr>
          <w:trHeight w:val="353"/>
        </w:trPr>
        <w:tc>
          <w:tcPr>
            <w:tcW w:w="468" w:type="dxa"/>
          </w:tcPr>
          <w:p w14:paraId="2158848B" w14:textId="04B9AF63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3746" w:type="dxa"/>
            <w:gridSpan w:val="3"/>
          </w:tcPr>
          <w:p w14:paraId="5BE1857D" w14:textId="10FAA237" w:rsidR="005B4DED" w:rsidRPr="001E348C" w:rsidRDefault="00CE3B9B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Technology and Metrics</w:t>
            </w:r>
          </w:p>
        </w:tc>
        <w:tc>
          <w:tcPr>
            <w:tcW w:w="5141" w:type="dxa"/>
            <w:gridSpan w:val="2"/>
          </w:tcPr>
          <w:p w14:paraId="75CAE0B4" w14:textId="4E0FC539" w:rsidR="00CE3B9B" w:rsidRPr="001E348C" w:rsidRDefault="00CE3B9B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IT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secutity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captured logs for analysis and issues resolution</w:t>
            </w:r>
          </w:p>
        </w:tc>
      </w:tr>
      <w:tr w:rsidR="005B4DED" w:rsidRPr="001E348C" w14:paraId="4BA04F4E" w14:textId="77777777" w:rsidTr="00FD5D97">
        <w:trPr>
          <w:trHeight w:val="48"/>
        </w:trPr>
        <w:tc>
          <w:tcPr>
            <w:tcW w:w="9355" w:type="dxa"/>
            <w:gridSpan w:val="6"/>
          </w:tcPr>
          <w:p w14:paraId="51A1EA24" w14:textId="77777777" w:rsidR="005B4DED" w:rsidRPr="001E348C" w:rsidRDefault="005B4DED" w:rsidP="005B4DED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II. Areas of potential improvement along with high-impact improvement strategies:</w:t>
            </w:r>
          </w:p>
        </w:tc>
      </w:tr>
      <w:tr w:rsidR="005B4DED" w:rsidRPr="001E348C" w14:paraId="27D0D09B" w14:textId="77777777" w:rsidTr="00634405">
        <w:trPr>
          <w:trHeight w:val="38"/>
        </w:trPr>
        <w:tc>
          <w:tcPr>
            <w:tcW w:w="468" w:type="dxa"/>
          </w:tcPr>
          <w:p w14:paraId="600F3036" w14:textId="7777777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2470" w:type="dxa"/>
          </w:tcPr>
          <w:p w14:paraId="41B96F65" w14:textId="77777777" w:rsidR="005B4DED" w:rsidRPr="001E348C" w:rsidRDefault="005B4DED" w:rsidP="005B4DED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2997" w:type="dxa"/>
            <w:gridSpan w:val="3"/>
          </w:tcPr>
          <w:p w14:paraId="01F33F20" w14:textId="77777777" w:rsidR="005B4DED" w:rsidRPr="001E348C" w:rsidRDefault="005B4DED" w:rsidP="005B4DED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Project Shortcomings</w:t>
            </w:r>
          </w:p>
        </w:tc>
        <w:tc>
          <w:tcPr>
            <w:tcW w:w="3420" w:type="dxa"/>
          </w:tcPr>
          <w:p w14:paraId="6BC96266" w14:textId="77777777" w:rsidR="005B4DED" w:rsidRPr="001E348C" w:rsidRDefault="005B4DED" w:rsidP="005B4DED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Lessons learned</w:t>
            </w:r>
          </w:p>
        </w:tc>
      </w:tr>
      <w:tr w:rsidR="005B4DED" w:rsidRPr="001E348C" w14:paraId="20596E2D" w14:textId="77777777" w:rsidTr="00634405">
        <w:trPr>
          <w:trHeight w:val="38"/>
        </w:trPr>
        <w:tc>
          <w:tcPr>
            <w:tcW w:w="468" w:type="dxa"/>
          </w:tcPr>
          <w:p w14:paraId="5502727D" w14:textId="670F2A16" w:rsidR="005B4DED" w:rsidRPr="001E348C" w:rsidRDefault="005901FE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  <w:r w:rsidR="005B4DED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. </w:t>
            </w:r>
          </w:p>
        </w:tc>
        <w:tc>
          <w:tcPr>
            <w:tcW w:w="2470" w:type="dxa"/>
          </w:tcPr>
          <w:p w14:paraId="1E6F185E" w14:textId="099942FA" w:rsidR="005B4DED" w:rsidRPr="001E348C" w:rsidRDefault="005901FE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Stakeholder engagement</w:t>
            </w:r>
          </w:p>
          <w:p w14:paraId="59EF0D69" w14:textId="595EA1B9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997" w:type="dxa"/>
            <w:gridSpan w:val="3"/>
          </w:tcPr>
          <w:p w14:paraId="42E2537B" w14:textId="5B5E54A7" w:rsidR="005B4DED" w:rsidRPr="001E348C" w:rsidRDefault="005901FE" w:rsidP="005901F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DataComm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was not engaged early</w:t>
            </w:r>
          </w:p>
        </w:tc>
        <w:tc>
          <w:tcPr>
            <w:tcW w:w="3420" w:type="dxa"/>
          </w:tcPr>
          <w:p w14:paraId="7FA96375" w14:textId="1AA175E3" w:rsidR="005B4DED" w:rsidRPr="001E348C" w:rsidRDefault="005901FE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All stakeholders should be identified and engages as soon as possible.</w:t>
            </w:r>
          </w:p>
        </w:tc>
      </w:tr>
      <w:tr w:rsidR="005B4DED" w:rsidRPr="003D0400" w14:paraId="5EB48168" w14:textId="77777777" w:rsidTr="00634405">
        <w:trPr>
          <w:trHeight w:val="38"/>
        </w:trPr>
        <w:tc>
          <w:tcPr>
            <w:tcW w:w="468" w:type="dxa"/>
          </w:tcPr>
          <w:p w14:paraId="6F3F2A3D" w14:textId="602472F6" w:rsidR="005B4DED" w:rsidRPr="001E348C" w:rsidRDefault="005901FE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2</w:t>
            </w:r>
            <w:r w:rsidR="005B4DED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470" w:type="dxa"/>
          </w:tcPr>
          <w:p w14:paraId="65446B88" w14:textId="7C6C97DD" w:rsidR="005B4DED" w:rsidRPr="001E348C" w:rsidRDefault="00741859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Technical</w:t>
            </w:r>
            <w:r w:rsidR="005B4DED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requirements</w:t>
            </w:r>
          </w:p>
        </w:tc>
        <w:tc>
          <w:tcPr>
            <w:tcW w:w="2997" w:type="dxa"/>
            <w:gridSpan w:val="3"/>
          </w:tcPr>
          <w:p w14:paraId="42B42F19" w14:textId="77777777" w:rsidR="005B4DED" w:rsidRDefault="00F029A1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Whitelisting</w:t>
            </w:r>
          </w:p>
          <w:p w14:paraId="0CDE2689" w14:textId="1F4FC91D" w:rsidR="00741859" w:rsidRPr="001E348C" w:rsidRDefault="00741859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420" w:type="dxa"/>
          </w:tcPr>
          <w:p w14:paraId="41791F59" w14:textId="6961FFF2" w:rsidR="005B4DED" w:rsidRDefault="00F029A1" w:rsidP="001C250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Whitelist components/objects should be considered.</w:t>
            </w:r>
          </w:p>
        </w:tc>
      </w:tr>
      <w:tr w:rsidR="003914E7" w:rsidRPr="003D0400" w14:paraId="16B7AF10" w14:textId="77777777" w:rsidTr="00634405">
        <w:trPr>
          <w:trHeight w:val="38"/>
        </w:trPr>
        <w:tc>
          <w:tcPr>
            <w:tcW w:w="468" w:type="dxa"/>
          </w:tcPr>
          <w:p w14:paraId="4003FB8F" w14:textId="5669372D" w:rsidR="003914E7" w:rsidRPr="001E348C" w:rsidRDefault="005901FE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2470" w:type="dxa"/>
          </w:tcPr>
          <w:p w14:paraId="73D665B4" w14:textId="6B66DF33" w:rsidR="003914E7" w:rsidRPr="001E348C" w:rsidRDefault="003914E7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Issues management</w:t>
            </w:r>
          </w:p>
        </w:tc>
        <w:tc>
          <w:tcPr>
            <w:tcW w:w="2997" w:type="dxa"/>
            <w:gridSpan w:val="3"/>
          </w:tcPr>
          <w:p w14:paraId="4B36C1DE" w14:textId="57E274F3" w:rsidR="003914E7" w:rsidRPr="00F029A1" w:rsidRDefault="00F029A1" w:rsidP="00F029A1">
            <w:pPr>
              <w:pStyle w:val="ListParagraph"/>
              <w:numPr>
                <w:ilvl w:val="0"/>
                <w:numId w:val="21"/>
              </w:numPr>
              <w:ind w:left="106" w:hanging="18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634405" w:rsidRPr="00F029A1">
              <w:rPr>
                <w:rFonts w:ascii="Tahoma" w:hAnsi="Tahoma" w:cs="Tahoma"/>
                <w:color w:val="000000" w:themeColor="text1"/>
                <w:sz w:val="18"/>
                <w:szCs w:val="18"/>
              </w:rPr>
              <w:t>No clarity on issues’ ownership</w:t>
            </w:r>
          </w:p>
          <w:p w14:paraId="5FB2CAFB" w14:textId="77777777" w:rsidR="00F029A1" w:rsidRDefault="00F029A1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11079011" w14:textId="77777777" w:rsidR="00F029A1" w:rsidRDefault="00F029A1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77228CBF" w14:textId="4F7E7552" w:rsidR="00741859" w:rsidRDefault="00F029A1" w:rsidP="005901FE">
            <w:pPr>
              <w:pStyle w:val="ListParagraph"/>
              <w:numPr>
                <w:ilvl w:val="0"/>
                <w:numId w:val="21"/>
              </w:numPr>
              <w:ind w:left="196" w:hanging="27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r w:rsidRPr="00741859">
              <w:rPr>
                <w:rFonts w:ascii="Tahoma" w:hAnsi="Tahoma" w:cs="Tahoma"/>
                <w:color w:val="000000" w:themeColor="text1"/>
                <w:sz w:val="18"/>
                <w:szCs w:val="18"/>
              </w:rPr>
              <w:t>Inadequated</w:t>
            </w:r>
            <w:proofErr w:type="spellEnd"/>
            <w:r w:rsidRPr="00741859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meetings</w:t>
            </w:r>
          </w:p>
          <w:p w14:paraId="4167AE72" w14:textId="77777777" w:rsidR="005901FE" w:rsidRPr="00741859" w:rsidRDefault="005901FE" w:rsidP="005901FE">
            <w:pPr>
              <w:pStyle w:val="ListParagraph"/>
              <w:ind w:left="196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25631870" w14:textId="42A80E5F" w:rsidR="00741859" w:rsidRPr="00741859" w:rsidRDefault="00741859" w:rsidP="005901FE">
            <w:pPr>
              <w:pStyle w:val="ListParagraph"/>
              <w:numPr>
                <w:ilvl w:val="0"/>
                <w:numId w:val="21"/>
              </w:numPr>
              <w:ind w:left="196" w:hanging="27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</w:t>
            </w:r>
            <w:r w:rsidR="005901FE">
              <w:rPr>
                <w:rFonts w:ascii="Tahoma" w:hAnsi="Tahoma" w:cs="Tahoma"/>
                <w:color w:val="000000" w:themeColor="text1"/>
                <w:sz w:val="18"/>
                <w:szCs w:val="18"/>
              </w:rPr>
              <w:t>entralization of issues resolution strategy</w:t>
            </w:r>
          </w:p>
          <w:p w14:paraId="0308928C" w14:textId="5AC73A2D" w:rsidR="00741859" w:rsidRPr="001E348C" w:rsidRDefault="00741859" w:rsidP="00F029A1">
            <w:pPr>
              <w:ind w:hanging="74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420" w:type="dxa"/>
          </w:tcPr>
          <w:p w14:paraId="5982D3D5" w14:textId="77777777" w:rsidR="003914E7" w:rsidRDefault="00F029A1" w:rsidP="001C250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a.</w:t>
            </w:r>
            <w:r w:rsidR="00634405">
              <w:rPr>
                <w:rFonts w:ascii="Tahoma" w:hAnsi="Tahoma" w:cs="Tahoma"/>
                <w:color w:val="000000" w:themeColor="text1"/>
                <w:sz w:val="18"/>
                <w:szCs w:val="18"/>
              </w:rPr>
              <w:t>Resources</w:t>
            </w:r>
            <w:proofErr w:type="spellEnd"/>
            <w:proofErr w:type="gramEnd"/>
            <w:r w:rsidR="00634405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should be assigned to issues and team members should be informed about issues and their owners.</w:t>
            </w:r>
          </w:p>
          <w:p w14:paraId="521E884E" w14:textId="77777777" w:rsidR="00F029A1" w:rsidRDefault="00F029A1" w:rsidP="001C250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b. More sessions are needed for brainstorming and problem solving.</w:t>
            </w:r>
          </w:p>
          <w:p w14:paraId="7AEAA48D" w14:textId="79DD77EE" w:rsidR="005901FE" w:rsidRPr="001E348C" w:rsidRDefault="005901FE" w:rsidP="001C250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c. The technical team should adopt centralized logging to collaborate and solve problems, such as ‘elastic surge.”</w:t>
            </w:r>
          </w:p>
        </w:tc>
      </w:tr>
      <w:tr w:rsidR="003914E7" w:rsidRPr="003D0400" w14:paraId="532A8514" w14:textId="77777777" w:rsidTr="00634405">
        <w:trPr>
          <w:trHeight w:val="38"/>
        </w:trPr>
        <w:tc>
          <w:tcPr>
            <w:tcW w:w="468" w:type="dxa"/>
          </w:tcPr>
          <w:p w14:paraId="5246BC6A" w14:textId="56A976CC" w:rsidR="003914E7" w:rsidRPr="001E348C" w:rsidRDefault="005901FE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2470" w:type="dxa"/>
          </w:tcPr>
          <w:p w14:paraId="7EB6FF6D" w14:textId="5AF3BE1C" w:rsidR="003914E7" w:rsidRPr="001E348C" w:rsidRDefault="003914E7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Testing</w:t>
            </w:r>
          </w:p>
        </w:tc>
        <w:tc>
          <w:tcPr>
            <w:tcW w:w="2997" w:type="dxa"/>
            <w:gridSpan w:val="3"/>
          </w:tcPr>
          <w:p w14:paraId="4D71FF65" w14:textId="5E615C30" w:rsidR="00F029A1" w:rsidRPr="001E348C" w:rsidRDefault="00634405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Broswers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testing </w:t>
            </w:r>
            <w:r w:rsidR="00F029A1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and some other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were not included in the test scenarios</w:t>
            </w:r>
          </w:p>
        </w:tc>
        <w:tc>
          <w:tcPr>
            <w:tcW w:w="3420" w:type="dxa"/>
          </w:tcPr>
          <w:p w14:paraId="295F96D7" w14:textId="5373F2D0" w:rsidR="003914E7" w:rsidRPr="001E348C" w:rsidRDefault="00634405" w:rsidP="001C250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634405">
              <w:rPr>
                <w:rFonts w:ascii="Tahoma" w:hAnsi="Tahoma" w:cs="Tahoma"/>
                <w:color w:val="000000" w:themeColor="text1"/>
                <w:sz w:val="18"/>
                <w:szCs w:val="18"/>
              </w:rPr>
              <w:t>Need testing of all kinds of browsers and bo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 on campus and off campus users.</w:t>
            </w:r>
            <w:r w:rsidR="00F029A1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Other relevant test cases should also be included.</w:t>
            </w:r>
          </w:p>
        </w:tc>
      </w:tr>
      <w:tr w:rsidR="003914E7" w:rsidRPr="003D0400" w14:paraId="5B8DBBA5" w14:textId="77777777" w:rsidTr="00634405">
        <w:trPr>
          <w:trHeight w:val="38"/>
        </w:trPr>
        <w:tc>
          <w:tcPr>
            <w:tcW w:w="468" w:type="dxa"/>
          </w:tcPr>
          <w:p w14:paraId="7D5348FE" w14:textId="219A5FDC" w:rsidR="003914E7" w:rsidRPr="001E348C" w:rsidRDefault="005901FE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5.</w:t>
            </w:r>
          </w:p>
        </w:tc>
        <w:tc>
          <w:tcPr>
            <w:tcW w:w="2470" w:type="dxa"/>
          </w:tcPr>
          <w:p w14:paraId="7F24334D" w14:textId="6D65A3BB" w:rsidR="003914E7" w:rsidRPr="001E348C" w:rsidRDefault="003914E7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Documentation</w:t>
            </w:r>
          </w:p>
        </w:tc>
        <w:tc>
          <w:tcPr>
            <w:tcW w:w="2997" w:type="dxa"/>
            <w:gridSpan w:val="3"/>
          </w:tcPr>
          <w:p w14:paraId="2AD11B11" w14:textId="25DFB3A2" w:rsidR="003914E7" w:rsidRPr="001E348C" w:rsidRDefault="00F029A1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Limited documentation</w:t>
            </w:r>
          </w:p>
        </w:tc>
        <w:tc>
          <w:tcPr>
            <w:tcW w:w="3420" w:type="dxa"/>
          </w:tcPr>
          <w:p w14:paraId="33082C06" w14:textId="615AB4D1" w:rsidR="003914E7" w:rsidRPr="001E348C" w:rsidRDefault="00573368" w:rsidP="001C250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Documents such as </w:t>
            </w:r>
            <w:r w:rsidR="00F029A1">
              <w:rPr>
                <w:rFonts w:ascii="Tahoma" w:hAnsi="Tahoma" w:cs="Tahoma"/>
                <w:color w:val="000000" w:themeColor="text1"/>
                <w:sz w:val="18"/>
                <w:szCs w:val="18"/>
              </w:rPr>
              <w:t>Standard Operating Procedure (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SOP</w:t>
            </w:r>
            <w:r w:rsidR="00F029A1">
              <w:rPr>
                <w:rFonts w:ascii="Tahoma" w:hAnsi="Tahoma" w:cs="Tahoma"/>
                <w:color w:val="000000" w:themeColor="text1"/>
                <w:sz w:val="18"/>
                <w:szCs w:val="18"/>
              </w:rPr>
              <w:t>)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for new services, Service Design, Business Continuity Planning (BCP)</w:t>
            </w:r>
            <w:r w:rsidR="00F029A1">
              <w:rPr>
                <w:rFonts w:ascii="Tahoma" w:hAnsi="Tahoma" w:cs="Tahoma"/>
                <w:color w:val="000000" w:themeColor="text1"/>
                <w:sz w:val="18"/>
                <w:szCs w:val="18"/>
              </w:rPr>
              <w:t>, and architecture diagrams should be produced.</w:t>
            </w:r>
          </w:p>
        </w:tc>
      </w:tr>
      <w:tr w:rsidR="00634405" w:rsidRPr="003D0400" w14:paraId="0BCB45AE" w14:textId="77777777" w:rsidTr="00634405">
        <w:trPr>
          <w:trHeight w:val="38"/>
        </w:trPr>
        <w:tc>
          <w:tcPr>
            <w:tcW w:w="468" w:type="dxa"/>
          </w:tcPr>
          <w:p w14:paraId="4508FF13" w14:textId="7711099F" w:rsidR="00634405" w:rsidRPr="001E348C" w:rsidRDefault="005901FE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2470" w:type="dxa"/>
          </w:tcPr>
          <w:p w14:paraId="052E54C5" w14:textId="79A6FB82" w:rsidR="00634405" w:rsidRDefault="00634405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Naming convention</w:t>
            </w:r>
          </w:p>
        </w:tc>
        <w:tc>
          <w:tcPr>
            <w:tcW w:w="2997" w:type="dxa"/>
            <w:gridSpan w:val="3"/>
          </w:tcPr>
          <w:p w14:paraId="5D76CD60" w14:textId="5BD4ECB2" w:rsidR="00634405" w:rsidRPr="001E348C" w:rsidRDefault="00634405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Inconsitent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naming convention</w:t>
            </w:r>
            <w:r w:rsidR="0057336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(e.g., MFA/2FA)</w:t>
            </w:r>
          </w:p>
        </w:tc>
        <w:tc>
          <w:tcPr>
            <w:tcW w:w="3420" w:type="dxa"/>
          </w:tcPr>
          <w:p w14:paraId="31B1C47A" w14:textId="49517311" w:rsidR="00634405" w:rsidRPr="001E348C" w:rsidRDefault="00634405" w:rsidP="001C250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 team</w:t>
            </w:r>
            <w:r w:rsidR="0057336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members, especially the development team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should review and agree </w:t>
            </w:r>
            <w:r w:rsidR="00573368">
              <w:rPr>
                <w:rFonts w:ascii="Tahoma" w:hAnsi="Tahoma" w:cs="Tahoma"/>
                <w:color w:val="000000" w:themeColor="text1"/>
                <w:sz w:val="18"/>
                <w:szCs w:val="18"/>
              </w:rPr>
              <w:t>upon naming conversions.</w:t>
            </w:r>
          </w:p>
        </w:tc>
      </w:tr>
    </w:tbl>
    <w:p w14:paraId="623FA32F" w14:textId="6F4F4FB4" w:rsidR="00E97E5B" w:rsidRDefault="00E97E5B" w:rsidP="00694FF0">
      <w:pPr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</w:p>
    <w:p w14:paraId="50B1AC25" w14:textId="77777777" w:rsidR="00573BC6" w:rsidRPr="000719EA" w:rsidRDefault="00573BC6" w:rsidP="00694FF0">
      <w:pPr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</w:p>
    <w:sectPr w:rsidR="00573BC6" w:rsidRPr="000719EA" w:rsidSect="00955C97">
      <w:footerReference w:type="default" r:id="rId11"/>
      <w:pgSz w:w="12240" w:h="15840"/>
      <w:pgMar w:top="825" w:right="1440" w:bottom="1710" w:left="1440" w:header="45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0F569" w14:textId="77777777" w:rsidR="008E2A5E" w:rsidRDefault="008E2A5E" w:rsidP="003D0400">
      <w:pPr>
        <w:spacing w:after="0" w:line="240" w:lineRule="auto"/>
      </w:pPr>
      <w:r>
        <w:separator/>
      </w:r>
    </w:p>
  </w:endnote>
  <w:endnote w:type="continuationSeparator" w:id="0">
    <w:p w14:paraId="06289E24" w14:textId="77777777" w:rsidR="008E2A5E" w:rsidRDefault="008E2A5E" w:rsidP="003D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8500C" w14:textId="581939D1" w:rsidR="003D0400" w:rsidRDefault="003D0400">
    <w:pPr>
      <w:pStyle w:val="Footer"/>
      <w:jc w:val="right"/>
    </w:pPr>
    <w:r>
      <w:t xml:space="preserve">Page </w:t>
    </w:r>
    <w:sdt>
      <w:sdtPr>
        <w:id w:val="-20240042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36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D39FDE" w14:textId="77777777" w:rsidR="003D0400" w:rsidRDefault="003D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DC006" w14:textId="77777777" w:rsidR="008E2A5E" w:rsidRDefault="008E2A5E" w:rsidP="003D0400">
      <w:pPr>
        <w:spacing w:after="0" w:line="240" w:lineRule="auto"/>
      </w:pPr>
      <w:r>
        <w:separator/>
      </w:r>
    </w:p>
  </w:footnote>
  <w:footnote w:type="continuationSeparator" w:id="0">
    <w:p w14:paraId="48EF6DA0" w14:textId="77777777" w:rsidR="008E2A5E" w:rsidRDefault="008E2A5E" w:rsidP="003D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527"/>
    <w:multiLevelType w:val="hybridMultilevel"/>
    <w:tmpl w:val="1388B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878"/>
    <w:multiLevelType w:val="multilevel"/>
    <w:tmpl w:val="5F5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62A8A"/>
    <w:multiLevelType w:val="hybridMultilevel"/>
    <w:tmpl w:val="5442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0DFE"/>
    <w:multiLevelType w:val="multilevel"/>
    <w:tmpl w:val="118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64365"/>
    <w:multiLevelType w:val="hybridMultilevel"/>
    <w:tmpl w:val="4A482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C6C16"/>
    <w:multiLevelType w:val="hybridMultilevel"/>
    <w:tmpl w:val="2744D8C4"/>
    <w:lvl w:ilvl="0" w:tplc="89028090">
      <w:start w:val="1"/>
      <w:numFmt w:val="lowerRoman"/>
      <w:lvlText w:val="%1."/>
      <w:lvlJc w:val="left"/>
      <w:pPr>
        <w:ind w:left="2162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B6F0">
      <w:start w:val="1"/>
      <w:numFmt w:val="lowerLetter"/>
      <w:lvlText w:val="%2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5AD688">
      <w:start w:val="1"/>
      <w:numFmt w:val="lowerRoman"/>
      <w:lvlText w:val="%3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6AA3F0">
      <w:start w:val="1"/>
      <w:numFmt w:val="decimal"/>
      <w:lvlText w:val="%4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0C4BC0">
      <w:start w:val="1"/>
      <w:numFmt w:val="lowerLetter"/>
      <w:lvlText w:val="%5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8F228">
      <w:start w:val="1"/>
      <w:numFmt w:val="lowerRoman"/>
      <w:lvlText w:val="%6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2EAD56">
      <w:start w:val="1"/>
      <w:numFmt w:val="decimal"/>
      <w:lvlText w:val="%7"/>
      <w:lvlJc w:val="left"/>
      <w:pPr>
        <w:ind w:left="6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2C6BE0">
      <w:start w:val="1"/>
      <w:numFmt w:val="lowerLetter"/>
      <w:lvlText w:val="%8"/>
      <w:lvlJc w:val="left"/>
      <w:pPr>
        <w:ind w:left="7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6F550">
      <w:start w:val="1"/>
      <w:numFmt w:val="lowerRoman"/>
      <w:lvlText w:val="%9"/>
      <w:lvlJc w:val="left"/>
      <w:pPr>
        <w:ind w:left="7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641FB9"/>
    <w:multiLevelType w:val="multilevel"/>
    <w:tmpl w:val="6C1E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070D0"/>
    <w:multiLevelType w:val="multilevel"/>
    <w:tmpl w:val="714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02DF8"/>
    <w:multiLevelType w:val="hybridMultilevel"/>
    <w:tmpl w:val="71846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E44C2"/>
    <w:multiLevelType w:val="hybridMultilevel"/>
    <w:tmpl w:val="E6027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F165E"/>
    <w:multiLevelType w:val="multilevel"/>
    <w:tmpl w:val="B1B8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1169F"/>
    <w:multiLevelType w:val="hybridMultilevel"/>
    <w:tmpl w:val="471C9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430F6"/>
    <w:multiLevelType w:val="hybridMultilevel"/>
    <w:tmpl w:val="399C9612"/>
    <w:lvl w:ilvl="0" w:tplc="36441D5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D089D"/>
    <w:multiLevelType w:val="hybridMultilevel"/>
    <w:tmpl w:val="D3B67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5595A"/>
    <w:multiLevelType w:val="hybridMultilevel"/>
    <w:tmpl w:val="B0D201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F4C70"/>
    <w:multiLevelType w:val="hybridMultilevel"/>
    <w:tmpl w:val="485C7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549B1"/>
    <w:multiLevelType w:val="hybridMultilevel"/>
    <w:tmpl w:val="0952F9E6"/>
    <w:lvl w:ilvl="0" w:tplc="24AC1E8A">
      <w:start w:val="1"/>
      <w:numFmt w:val="lowerLetter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7" w15:restartNumberingAfterBreak="0">
    <w:nsid w:val="76DD5804"/>
    <w:multiLevelType w:val="hybridMultilevel"/>
    <w:tmpl w:val="14E863BA"/>
    <w:lvl w:ilvl="0" w:tplc="8384BF4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041DB"/>
    <w:multiLevelType w:val="multilevel"/>
    <w:tmpl w:val="4AE2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1138B"/>
    <w:multiLevelType w:val="hybridMultilevel"/>
    <w:tmpl w:val="1836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D085C"/>
    <w:multiLevelType w:val="hybridMultilevel"/>
    <w:tmpl w:val="3A682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9"/>
  </w:num>
  <w:num w:numId="5">
    <w:abstractNumId w:val="10"/>
    <w:lvlOverride w:ilvl="1">
      <w:startOverride w:val="1"/>
    </w:lvlOverride>
  </w:num>
  <w:num w:numId="6">
    <w:abstractNumId w:val="6"/>
    <w:lvlOverride w:ilvl="1">
      <w:startOverride w:val="1"/>
    </w:lvlOverride>
  </w:num>
  <w:num w:numId="7">
    <w:abstractNumId w:val="7"/>
    <w:lvlOverride w:ilvl="1">
      <w:startOverride w:val="1"/>
    </w:lvlOverride>
  </w:num>
  <w:num w:numId="8">
    <w:abstractNumId w:val="1"/>
    <w:lvlOverride w:ilvl="1">
      <w:startOverride w:val="1"/>
    </w:lvlOverride>
  </w:num>
  <w:num w:numId="9">
    <w:abstractNumId w:val="11"/>
  </w:num>
  <w:num w:numId="10">
    <w:abstractNumId w:val="9"/>
  </w:num>
  <w:num w:numId="11">
    <w:abstractNumId w:val="13"/>
  </w:num>
  <w:num w:numId="12">
    <w:abstractNumId w:val="3"/>
    <w:lvlOverride w:ilvl="1">
      <w:startOverride w:val="1"/>
    </w:lvlOverride>
  </w:num>
  <w:num w:numId="13">
    <w:abstractNumId w:val="18"/>
    <w:lvlOverride w:ilvl="1">
      <w:startOverride w:val="1"/>
    </w:lvlOverride>
  </w:num>
  <w:num w:numId="14">
    <w:abstractNumId w:val="5"/>
  </w:num>
  <w:num w:numId="15">
    <w:abstractNumId w:val="14"/>
  </w:num>
  <w:num w:numId="16">
    <w:abstractNumId w:val="4"/>
  </w:num>
  <w:num w:numId="17">
    <w:abstractNumId w:val="20"/>
  </w:num>
  <w:num w:numId="18">
    <w:abstractNumId w:val="16"/>
  </w:num>
  <w:num w:numId="19">
    <w:abstractNumId w:val="15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yNDY0tDQ3N7YwNzdS0lEKTi0uzszPAykwNKkFAJoJKhgtAAAA"/>
  </w:docVars>
  <w:rsids>
    <w:rsidRoot w:val="00D53C1E"/>
    <w:rsid w:val="00060870"/>
    <w:rsid w:val="000630D6"/>
    <w:rsid w:val="00065934"/>
    <w:rsid w:val="000719EA"/>
    <w:rsid w:val="000A5C22"/>
    <w:rsid w:val="000B32E8"/>
    <w:rsid w:val="000C1658"/>
    <w:rsid w:val="000D3959"/>
    <w:rsid w:val="000D70FF"/>
    <w:rsid w:val="000D7379"/>
    <w:rsid w:val="000E4ADB"/>
    <w:rsid w:val="000E54FD"/>
    <w:rsid w:val="000F124B"/>
    <w:rsid w:val="00102D68"/>
    <w:rsid w:val="00103D85"/>
    <w:rsid w:val="001321E0"/>
    <w:rsid w:val="00134C80"/>
    <w:rsid w:val="001428BD"/>
    <w:rsid w:val="00153313"/>
    <w:rsid w:val="0016384A"/>
    <w:rsid w:val="001917E7"/>
    <w:rsid w:val="001A658D"/>
    <w:rsid w:val="001B0977"/>
    <w:rsid w:val="001C2500"/>
    <w:rsid w:val="001C41CF"/>
    <w:rsid w:val="001C5CFE"/>
    <w:rsid w:val="001E348C"/>
    <w:rsid w:val="001F6E09"/>
    <w:rsid w:val="00212FBC"/>
    <w:rsid w:val="00244D37"/>
    <w:rsid w:val="002A2E6E"/>
    <w:rsid w:val="002C7C36"/>
    <w:rsid w:val="002D7BE5"/>
    <w:rsid w:val="002E15B2"/>
    <w:rsid w:val="002F0040"/>
    <w:rsid w:val="003063DB"/>
    <w:rsid w:val="00323959"/>
    <w:rsid w:val="00324308"/>
    <w:rsid w:val="00331C14"/>
    <w:rsid w:val="00334116"/>
    <w:rsid w:val="00345A5A"/>
    <w:rsid w:val="00361540"/>
    <w:rsid w:val="00375084"/>
    <w:rsid w:val="00381351"/>
    <w:rsid w:val="003914E7"/>
    <w:rsid w:val="003B5B0A"/>
    <w:rsid w:val="003C3B6C"/>
    <w:rsid w:val="003C4C3D"/>
    <w:rsid w:val="003D0400"/>
    <w:rsid w:val="003D66FD"/>
    <w:rsid w:val="003D6C5C"/>
    <w:rsid w:val="003E09AD"/>
    <w:rsid w:val="003E32AA"/>
    <w:rsid w:val="00423D7A"/>
    <w:rsid w:val="00446C07"/>
    <w:rsid w:val="00451F6B"/>
    <w:rsid w:val="004628F6"/>
    <w:rsid w:val="004706B4"/>
    <w:rsid w:val="00474C65"/>
    <w:rsid w:val="0049075F"/>
    <w:rsid w:val="00497F02"/>
    <w:rsid w:val="004A124B"/>
    <w:rsid w:val="004A5AA7"/>
    <w:rsid w:val="004B63F9"/>
    <w:rsid w:val="004D7E55"/>
    <w:rsid w:val="004E1F79"/>
    <w:rsid w:val="00545E1F"/>
    <w:rsid w:val="005467B9"/>
    <w:rsid w:val="00554866"/>
    <w:rsid w:val="00564D84"/>
    <w:rsid w:val="00573368"/>
    <w:rsid w:val="00573BC6"/>
    <w:rsid w:val="00587CC4"/>
    <w:rsid w:val="005901FE"/>
    <w:rsid w:val="005B4DED"/>
    <w:rsid w:val="005C5CB7"/>
    <w:rsid w:val="005E6099"/>
    <w:rsid w:val="005F1869"/>
    <w:rsid w:val="00610198"/>
    <w:rsid w:val="00616384"/>
    <w:rsid w:val="006208BD"/>
    <w:rsid w:val="006208FC"/>
    <w:rsid w:val="00623006"/>
    <w:rsid w:val="00634405"/>
    <w:rsid w:val="00643179"/>
    <w:rsid w:val="00653ECC"/>
    <w:rsid w:val="0067262C"/>
    <w:rsid w:val="00694FF0"/>
    <w:rsid w:val="006974D8"/>
    <w:rsid w:val="006B29DC"/>
    <w:rsid w:val="006F1BDB"/>
    <w:rsid w:val="0070121B"/>
    <w:rsid w:val="007257D8"/>
    <w:rsid w:val="00731466"/>
    <w:rsid w:val="00732160"/>
    <w:rsid w:val="00741859"/>
    <w:rsid w:val="00753F33"/>
    <w:rsid w:val="00755C5C"/>
    <w:rsid w:val="007566B9"/>
    <w:rsid w:val="007628E5"/>
    <w:rsid w:val="007C75DF"/>
    <w:rsid w:val="007F4F0D"/>
    <w:rsid w:val="008025E4"/>
    <w:rsid w:val="00806F01"/>
    <w:rsid w:val="0083452B"/>
    <w:rsid w:val="008453EA"/>
    <w:rsid w:val="0086204C"/>
    <w:rsid w:val="008636E9"/>
    <w:rsid w:val="0086677D"/>
    <w:rsid w:val="008703D7"/>
    <w:rsid w:val="008815A9"/>
    <w:rsid w:val="0088187F"/>
    <w:rsid w:val="008C5A13"/>
    <w:rsid w:val="008E0962"/>
    <w:rsid w:val="008E2A5E"/>
    <w:rsid w:val="008E5474"/>
    <w:rsid w:val="008F115B"/>
    <w:rsid w:val="008F6B4B"/>
    <w:rsid w:val="009037B8"/>
    <w:rsid w:val="0092557B"/>
    <w:rsid w:val="00941051"/>
    <w:rsid w:val="00941CC2"/>
    <w:rsid w:val="009421B3"/>
    <w:rsid w:val="00942FF0"/>
    <w:rsid w:val="00955C97"/>
    <w:rsid w:val="00982A6B"/>
    <w:rsid w:val="009973FB"/>
    <w:rsid w:val="009A5FDB"/>
    <w:rsid w:val="009B5817"/>
    <w:rsid w:val="009D1002"/>
    <w:rsid w:val="009D4B47"/>
    <w:rsid w:val="009E383F"/>
    <w:rsid w:val="009E7EB0"/>
    <w:rsid w:val="009F29E2"/>
    <w:rsid w:val="009F2A28"/>
    <w:rsid w:val="00A442DC"/>
    <w:rsid w:val="00A4493E"/>
    <w:rsid w:val="00AB0E81"/>
    <w:rsid w:val="00AC18E4"/>
    <w:rsid w:val="00AD653D"/>
    <w:rsid w:val="00AE0040"/>
    <w:rsid w:val="00AE10A1"/>
    <w:rsid w:val="00AE298D"/>
    <w:rsid w:val="00AE562C"/>
    <w:rsid w:val="00AF5AAC"/>
    <w:rsid w:val="00B076F1"/>
    <w:rsid w:val="00B47FEB"/>
    <w:rsid w:val="00B554B9"/>
    <w:rsid w:val="00B66F00"/>
    <w:rsid w:val="00B873D1"/>
    <w:rsid w:val="00BB692C"/>
    <w:rsid w:val="00BC4BE0"/>
    <w:rsid w:val="00BD5280"/>
    <w:rsid w:val="00BE426C"/>
    <w:rsid w:val="00BE7562"/>
    <w:rsid w:val="00C30F51"/>
    <w:rsid w:val="00C42E51"/>
    <w:rsid w:val="00C57724"/>
    <w:rsid w:val="00C66476"/>
    <w:rsid w:val="00C7436A"/>
    <w:rsid w:val="00C74CB1"/>
    <w:rsid w:val="00CD0B90"/>
    <w:rsid w:val="00CE288B"/>
    <w:rsid w:val="00CE3B9B"/>
    <w:rsid w:val="00CF74F2"/>
    <w:rsid w:val="00D031B5"/>
    <w:rsid w:val="00D203F1"/>
    <w:rsid w:val="00D22B23"/>
    <w:rsid w:val="00D422F4"/>
    <w:rsid w:val="00D53C1E"/>
    <w:rsid w:val="00D62D86"/>
    <w:rsid w:val="00D65475"/>
    <w:rsid w:val="00D76AB4"/>
    <w:rsid w:val="00D91CF6"/>
    <w:rsid w:val="00DA2224"/>
    <w:rsid w:val="00DA4A0C"/>
    <w:rsid w:val="00DA59FC"/>
    <w:rsid w:val="00DB0AFF"/>
    <w:rsid w:val="00DB6897"/>
    <w:rsid w:val="00DD3D83"/>
    <w:rsid w:val="00E11CF4"/>
    <w:rsid w:val="00E15EFF"/>
    <w:rsid w:val="00E167DE"/>
    <w:rsid w:val="00E23255"/>
    <w:rsid w:val="00E303C4"/>
    <w:rsid w:val="00E5536D"/>
    <w:rsid w:val="00E65F1D"/>
    <w:rsid w:val="00E66590"/>
    <w:rsid w:val="00E7496D"/>
    <w:rsid w:val="00E77827"/>
    <w:rsid w:val="00E97E5B"/>
    <w:rsid w:val="00EB1029"/>
    <w:rsid w:val="00EC169B"/>
    <w:rsid w:val="00EF03A8"/>
    <w:rsid w:val="00F029A1"/>
    <w:rsid w:val="00F21DE4"/>
    <w:rsid w:val="00F47E72"/>
    <w:rsid w:val="00F65811"/>
    <w:rsid w:val="00FA7775"/>
    <w:rsid w:val="00FB14AD"/>
    <w:rsid w:val="00FB213B"/>
    <w:rsid w:val="00FB351E"/>
    <w:rsid w:val="00FD10AB"/>
    <w:rsid w:val="00FD5D97"/>
    <w:rsid w:val="00FE2745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EB94"/>
  <w15:chartTrackingRefBased/>
  <w15:docId w15:val="{BFD332E8-5AC6-46EB-BAC3-404EFFE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00"/>
  </w:style>
  <w:style w:type="paragraph" w:styleId="Footer">
    <w:name w:val="footer"/>
    <w:basedOn w:val="Normal"/>
    <w:link w:val="Foot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00"/>
  </w:style>
  <w:style w:type="paragraph" w:styleId="BalloonText">
    <w:name w:val="Balloon Text"/>
    <w:basedOn w:val="Normal"/>
    <w:link w:val="BalloonTextChar"/>
    <w:uiPriority w:val="99"/>
    <w:semiHidden/>
    <w:unhideWhenUsed/>
    <w:rsid w:val="001C4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C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0164\Desktop\SharePoint%20Re-Upload\Project%20Lessons%20Learn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F8FFD70B10C4FB7BE910EB4D14DA7" ma:contentTypeVersion="1" ma:contentTypeDescription="Create a new document." ma:contentTypeScope="" ma:versionID="8a9d3a894f77196523d042a2d985c8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9831F-5DC4-4A41-840E-DFD55E74C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343D8C-4ADB-41AC-AC9F-33DB5A7A8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07F2C7-4089-48B7-ABF4-9D8A8EA5A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434BD0-91E5-4C28-8E36-0E4EF30A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Lessons Learned Template</Template>
  <TotalTime>422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Lessons Learned Template</vt:lpstr>
    </vt:vector>
  </TitlesOfParts>
  <Company>University of North Texas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Lessons Learned Template</dc:title>
  <dc:subject/>
  <dc:creator>Sfloyd</dc:creator>
  <cp:keywords>Closing</cp:keywords>
  <dc:description/>
  <cp:lastModifiedBy>Atolagbe-Olaoye, Abidemi</cp:lastModifiedBy>
  <cp:revision>56</cp:revision>
  <cp:lastPrinted>2017-12-07T17:39:00Z</cp:lastPrinted>
  <dcterms:created xsi:type="dcterms:W3CDTF">2019-04-09T14:18:00Z</dcterms:created>
  <dcterms:modified xsi:type="dcterms:W3CDTF">2020-03-27T19:59:00Z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0x010100D9CF8FFD70B10C4FB7BE910EB4D14DA7</vt:lpwstr>
  </property>
  <property fmtid="{D5CDD505-2E9C-101B-9397-08002B2CF9AE}" pid="3" name="Order">
    <vt:r8>5000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