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033F" w14:textId="1B14F158" w:rsidR="007C75DF" w:rsidRPr="003D0400" w:rsidRDefault="007C75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bookmarkStart w:id="0" w:name="_GoBack"/>
      <w:bookmarkEnd w:id="0"/>
      <w:r w:rsidRPr="003D0400">
        <w:rPr>
          <w:rFonts w:ascii="Tahoma" w:hAnsi="Tahoma" w:cs="Tahoma"/>
          <w:b/>
          <w:color w:val="000000" w:themeColor="text1"/>
          <w:sz w:val="20"/>
          <w:szCs w:val="20"/>
        </w:rPr>
        <w:t>Project Lessons Learned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8"/>
        <w:gridCol w:w="2470"/>
        <w:gridCol w:w="238"/>
        <w:gridCol w:w="1038"/>
        <w:gridCol w:w="1832"/>
        <w:gridCol w:w="3309"/>
      </w:tblGrid>
      <w:tr w:rsidR="003D0400" w:rsidRPr="003D0400" w14:paraId="23049C50" w14:textId="77777777" w:rsidTr="00B66F00">
        <w:tc>
          <w:tcPr>
            <w:tcW w:w="3176" w:type="dxa"/>
            <w:gridSpan w:val="3"/>
            <w:shd w:val="clear" w:color="auto" w:fill="E7E6E6" w:themeFill="background2"/>
          </w:tcPr>
          <w:p w14:paraId="0CFE4CE6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Name:</w:t>
            </w:r>
          </w:p>
        </w:tc>
        <w:tc>
          <w:tcPr>
            <w:tcW w:w="6179" w:type="dxa"/>
            <w:gridSpan w:val="3"/>
          </w:tcPr>
          <w:p w14:paraId="12D8D233" w14:textId="496543A6" w:rsidR="007C75DF" w:rsidRPr="009037B8" w:rsidRDefault="004923B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Sample4 Project</w:t>
            </w:r>
          </w:p>
        </w:tc>
      </w:tr>
      <w:tr w:rsidR="003D0400" w:rsidRPr="003D0400" w14:paraId="3C005E36" w14:textId="77777777" w:rsidTr="00B66F00">
        <w:tc>
          <w:tcPr>
            <w:tcW w:w="3176" w:type="dxa"/>
            <w:gridSpan w:val="3"/>
            <w:shd w:val="clear" w:color="auto" w:fill="E7E6E6" w:themeFill="background2"/>
          </w:tcPr>
          <w:p w14:paraId="02ED5BDE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Prepared By:</w:t>
            </w:r>
          </w:p>
        </w:tc>
        <w:tc>
          <w:tcPr>
            <w:tcW w:w="6179" w:type="dxa"/>
            <w:gridSpan w:val="3"/>
          </w:tcPr>
          <w:p w14:paraId="66EA0CF7" w14:textId="103BCCD3" w:rsidR="007C75DF" w:rsidRPr="009037B8" w:rsidRDefault="006B29DC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Abi Atolagbe-Olaoye</w:t>
            </w:r>
          </w:p>
        </w:tc>
      </w:tr>
      <w:tr w:rsidR="003D0400" w:rsidRPr="003D0400" w14:paraId="05B49B1E" w14:textId="77777777" w:rsidTr="00B66F00">
        <w:tc>
          <w:tcPr>
            <w:tcW w:w="3176" w:type="dxa"/>
            <w:gridSpan w:val="3"/>
            <w:shd w:val="clear" w:color="auto" w:fill="E7E6E6" w:themeFill="background2"/>
          </w:tcPr>
          <w:p w14:paraId="752B1F78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6179" w:type="dxa"/>
            <w:gridSpan w:val="3"/>
          </w:tcPr>
          <w:p w14:paraId="12634757" w14:textId="60B78990" w:rsidR="007C75DF" w:rsidRPr="009037B8" w:rsidRDefault="009E383F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4/16/2019</w:t>
            </w:r>
          </w:p>
        </w:tc>
      </w:tr>
      <w:tr w:rsidR="003D0400" w:rsidRPr="003D0400" w14:paraId="680ADF96" w14:textId="77777777" w:rsidTr="00FD5D97">
        <w:tc>
          <w:tcPr>
            <w:tcW w:w="9355" w:type="dxa"/>
            <w:gridSpan w:val="6"/>
            <w:shd w:val="clear" w:color="auto" w:fill="33CC33"/>
          </w:tcPr>
          <w:p w14:paraId="7392F696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Project Close-Out Discussions</w:t>
            </w:r>
          </w:p>
        </w:tc>
      </w:tr>
      <w:tr w:rsidR="003D0400" w:rsidRPr="003D0400" w14:paraId="50730871" w14:textId="77777777" w:rsidTr="00FD5D97">
        <w:tc>
          <w:tcPr>
            <w:tcW w:w="9355" w:type="dxa"/>
            <w:gridSpan w:val="6"/>
          </w:tcPr>
          <w:p w14:paraId="04306A84" w14:textId="1D5791BD" w:rsidR="007C75DF" w:rsidRPr="009037B8" w:rsidRDefault="0016384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 lesson</w:t>
            </w:r>
            <w:r w:rsidR="007566B9">
              <w:rPr>
                <w:rFonts w:ascii="Tahoma" w:hAnsi="Tahoma" w:cs="Tahoma"/>
                <w:color w:val="000000" w:themeColor="text1"/>
                <w:sz w:val="18"/>
                <w:szCs w:val="18"/>
              </w:rPr>
              <w:t>s-</w:t>
            </w:r>
            <w:r w:rsidR="007C75DF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learned meeting was held on</w:t>
            </w:r>
            <w:r w:rsidR="009F2A28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FE2745">
              <w:rPr>
                <w:rFonts w:ascii="Tahoma" w:hAnsi="Tahoma" w:cs="Tahom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/</w:t>
            </w:r>
            <w:r w:rsidR="00FE2745">
              <w:rPr>
                <w:rFonts w:ascii="Tahoma" w:hAnsi="Tahoma" w:cs="Tahoma"/>
                <w:color w:val="000000" w:themeColor="text1"/>
                <w:sz w:val="18"/>
                <w:szCs w:val="18"/>
              </w:rPr>
              <w:t>16</w:t>
            </w:r>
            <w:r w:rsidR="0086677D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/201</w:t>
            </w:r>
            <w:r w:rsidR="00FE2745">
              <w:rPr>
                <w:rFonts w:ascii="Tahoma" w:hAnsi="Tahoma" w:cs="Tahoma"/>
                <w:color w:val="000000" w:themeColor="text1"/>
                <w:sz w:val="18"/>
                <w:szCs w:val="18"/>
              </w:rPr>
              <w:t>9</w:t>
            </w:r>
            <w:r w:rsidR="00EF03A8">
              <w:rPr>
                <w:rFonts w:ascii="Tahoma" w:hAnsi="Tahoma" w:cs="Tahoma"/>
                <w:color w:val="000000" w:themeColor="text1"/>
                <w:sz w:val="18"/>
                <w:szCs w:val="18"/>
              </w:rPr>
              <w:t>,</w:t>
            </w:r>
            <w:r w:rsidR="00FE2745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3D0400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and the initial summary is</w:t>
            </w:r>
            <w:r w:rsidR="007C75DF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attached herewith.</w:t>
            </w:r>
          </w:p>
        </w:tc>
      </w:tr>
      <w:tr w:rsidR="003D0400" w:rsidRPr="003D0400" w14:paraId="2CE62C8F" w14:textId="77777777" w:rsidTr="00B66F00">
        <w:trPr>
          <w:trHeight w:val="218"/>
        </w:trPr>
        <w:tc>
          <w:tcPr>
            <w:tcW w:w="4214" w:type="dxa"/>
            <w:gridSpan w:val="4"/>
          </w:tcPr>
          <w:p w14:paraId="6817C39F" w14:textId="34CE0466" w:rsidR="007C75DF" w:rsidRPr="003D0400" w:rsidRDefault="005E6B7E" w:rsidP="005E6B7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Team</w:t>
            </w:r>
            <w:r w:rsidR="007C75DF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5141" w:type="dxa"/>
            <w:gridSpan w:val="2"/>
          </w:tcPr>
          <w:p w14:paraId="42A0229C" w14:textId="000EFDF6" w:rsidR="004923BA" w:rsidRDefault="00DB72D8" w:rsidP="009E383F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Chris Adams, Philip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Cantello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Abi Atolagbe-Olaoye, Jim Scott, James Jones, Amy Clarence, John Doe, Joe Rodriguez, Andy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Jamaine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, Becky Davis</w:t>
            </w:r>
          </w:p>
          <w:p w14:paraId="72B88C2A" w14:textId="2A1A00DF" w:rsidR="004923BA" w:rsidRPr="00F21DE4" w:rsidRDefault="004923BA" w:rsidP="009E383F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0400" w:rsidRPr="001E348C" w14:paraId="624DE895" w14:textId="77777777" w:rsidTr="00B66F00">
        <w:tc>
          <w:tcPr>
            <w:tcW w:w="4214" w:type="dxa"/>
            <w:gridSpan w:val="4"/>
          </w:tcPr>
          <w:p w14:paraId="154822D3" w14:textId="77777777" w:rsidR="00C57724" w:rsidRPr="001E348C" w:rsidRDefault="00C57724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Background:</w:t>
            </w:r>
          </w:p>
        </w:tc>
        <w:tc>
          <w:tcPr>
            <w:tcW w:w="5141" w:type="dxa"/>
            <w:gridSpan w:val="2"/>
          </w:tcPr>
          <w:p w14:paraId="0B6CA6F6" w14:textId="78F278FB" w:rsidR="0016384A" w:rsidRPr="001E348C" w:rsidRDefault="00F47E72" w:rsidP="004923B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</w:t>
            </w:r>
            <w:r w:rsidR="004923BA">
              <w:rPr>
                <w:rFonts w:ascii="Tahoma" w:hAnsi="Tahoma" w:cs="Tahoma"/>
                <w:color w:val="000000" w:themeColor="text1"/>
                <w:sz w:val="18"/>
                <w:szCs w:val="18"/>
              </w:rPr>
              <w:t>organization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manages the existing shared services contract for Microsoft that includes software licensing for </w:t>
            </w:r>
            <w:r w:rsidR="00E6659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server, database, applications and enterprise cloud services (known as Office 365), for a</w:t>
            </w:r>
            <w:r w:rsidR="004923B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ll faculty, staff, and students. 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benefits of the new capabilities</w:t>
            </w:r>
            <w:r w:rsidR="001C25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, introduced by enabling Data Loss Prevention functionality,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FE2745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include</w:t>
            </w:r>
            <w:r w:rsidR="009E383F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FE2745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(1)</w:t>
            </w:r>
            <w:r w:rsidR="009E383F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Real-time scanning of Office 365 (email, OneDrive and Share Point Online) for PII and the automatic application of security protocols to restrict access or prevent that data from unauthorized access. </w:t>
            </w:r>
            <w:r w:rsidR="00FE2745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(2) </w:t>
            </w:r>
            <w:r w:rsidR="009E383F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Improvement of Data Loss Protection maturity and compliance with State of Texas Cybersecurity Framework requirements.</w:t>
            </w:r>
          </w:p>
        </w:tc>
      </w:tr>
      <w:tr w:rsidR="003D0400" w:rsidRPr="001E348C" w14:paraId="7D67C240" w14:textId="77777777" w:rsidTr="00FD5D97">
        <w:tc>
          <w:tcPr>
            <w:tcW w:w="9355" w:type="dxa"/>
            <w:gridSpan w:val="6"/>
          </w:tcPr>
          <w:p w14:paraId="61E08554" w14:textId="77777777" w:rsidR="000C1658" w:rsidRPr="001E348C" w:rsidRDefault="000C1658" w:rsidP="000C1658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I. Project’s biggest successes:</w:t>
            </w:r>
          </w:p>
        </w:tc>
      </w:tr>
      <w:tr w:rsidR="003D0400" w:rsidRPr="001E348C" w14:paraId="21DD9C8E" w14:textId="77777777" w:rsidTr="00B66F00">
        <w:tc>
          <w:tcPr>
            <w:tcW w:w="4214" w:type="dxa"/>
            <w:gridSpan w:val="4"/>
          </w:tcPr>
          <w:p w14:paraId="1094102F" w14:textId="77777777" w:rsidR="007C75DF" w:rsidRPr="001E348C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141" w:type="dxa"/>
            <w:gridSpan w:val="2"/>
          </w:tcPr>
          <w:p w14:paraId="1B3D832A" w14:textId="77777777" w:rsidR="007C75DF" w:rsidRPr="001E348C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Factors that promoted this success</w:t>
            </w:r>
          </w:p>
        </w:tc>
      </w:tr>
      <w:tr w:rsidR="00B66F00" w:rsidRPr="001E348C" w14:paraId="798F6A09" w14:textId="77777777" w:rsidTr="00B66F00">
        <w:trPr>
          <w:trHeight w:val="50"/>
        </w:trPr>
        <w:tc>
          <w:tcPr>
            <w:tcW w:w="468" w:type="dxa"/>
          </w:tcPr>
          <w:p w14:paraId="220D7CCB" w14:textId="57326EAE" w:rsidR="00B66F00" w:rsidRPr="001E348C" w:rsidRDefault="005B4DED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  <w:r w:rsidR="00B66F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746" w:type="dxa"/>
            <w:gridSpan w:val="3"/>
          </w:tcPr>
          <w:p w14:paraId="7A793329" w14:textId="26BBA2A0" w:rsidR="00B66F00" w:rsidRPr="001E348C" w:rsidRDefault="00B66F00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strategy</w:t>
            </w:r>
          </w:p>
        </w:tc>
        <w:tc>
          <w:tcPr>
            <w:tcW w:w="5141" w:type="dxa"/>
            <w:gridSpan w:val="2"/>
          </w:tcPr>
          <w:p w14:paraId="16ACADAC" w14:textId="43C48BF8" w:rsidR="00B66F00" w:rsidRPr="001E348C" w:rsidRDefault="00C42E51" w:rsidP="00EF03A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An e</w:t>
            </w:r>
            <w:r w:rsidR="00B66F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ffective strategy 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was crafted </w:t>
            </w:r>
            <w:r w:rsidR="00B66F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for enrolling participants – </w:t>
            </w:r>
            <w:r w:rsidR="005B4DED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“</w:t>
            </w:r>
            <w:r w:rsidR="00B66F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opt</w:t>
            </w:r>
            <w:r w:rsidR="00EF03A8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-</w:t>
            </w:r>
            <w:r w:rsidR="00B66F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in and offer</w:t>
            </w:r>
            <w:r w:rsidR="005B4DED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”</w:t>
            </w:r>
            <w:r w:rsidR="00B66F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as a mandatory service for targeted areas.</w:t>
            </w:r>
          </w:p>
        </w:tc>
      </w:tr>
      <w:tr w:rsidR="005B4DED" w:rsidRPr="001E348C" w14:paraId="1BF9EAAC" w14:textId="77777777" w:rsidTr="00B66F00">
        <w:trPr>
          <w:trHeight w:val="50"/>
        </w:trPr>
        <w:tc>
          <w:tcPr>
            <w:tcW w:w="468" w:type="dxa"/>
          </w:tcPr>
          <w:p w14:paraId="428A3FC4" w14:textId="46F3B0C4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3746" w:type="dxa"/>
            <w:gridSpan w:val="3"/>
          </w:tcPr>
          <w:p w14:paraId="4CBD22C9" w14:textId="18FF73DB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schedule</w:t>
            </w:r>
          </w:p>
        </w:tc>
        <w:tc>
          <w:tcPr>
            <w:tcW w:w="5141" w:type="dxa"/>
            <w:gridSpan w:val="2"/>
          </w:tcPr>
          <w:p w14:paraId="0EEC5808" w14:textId="1B0C460B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Effective stakeholders' communication and the establishment of a working group to implement policies &amp; procedures.</w:t>
            </w:r>
          </w:p>
        </w:tc>
      </w:tr>
      <w:tr w:rsidR="005B4DED" w:rsidRPr="001E348C" w14:paraId="6A8F3BB1" w14:textId="77777777" w:rsidTr="00B66F00">
        <w:trPr>
          <w:trHeight w:val="48"/>
        </w:trPr>
        <w:tc>
          <w:tcPr>
            <w:tcW w:w="468" w:type="dxa"/>
          </w:tcPr>
          <w:p w14:paraId="2F976C8B" w14:textId="7072F0D5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46" w:type="dxa"/>
            <w:gridSpan w:val="3"/>
          </w:tcPr>
          <w:p w14:paraId="5F2BCCA9" w14:textId="538BBA94" w:rsidR="005B4DED" w:rsidRPr="001E348C" w:rsidRDefault="005B4DED" w:rsidP="00BD528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Business needs</w:t>
            </w:r>
          </w:p>
        </w:tc>
        <w:tc>
          <w:tcPr>
            <w:tcW w:w="5141" w:type="dxa"/>
            <w:gridSpan w:val="2"/>
          </w:tcPr>
          <w:p w14:paraId="01EE72C1" w14:textId="127794C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a. DLP helped meet the state </w:t>
            </w:r>
            <w:r w:rsidR="003C4C3D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of Texas 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requirements and contributed to the maturity of the security program – from level 2 to level 4.</w:t>
            </w:r>
          </w:p>
          <w:p w14:paraId="26AEC775" w14:textId="7777777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b. Protects the confidentiality, integrity, and availability of PII, and reduces risk exposure.</w:t>
            </w:r>
          </w:p>
          <w:p w14:paraId="2E576A21" w14:textId="315E471A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c. The solution met audit recommendations.</w:t>
            </w:r>
          </w:p>
        </w:tc>
      </w:tr>
      <w:tr w:rsidR="005B4DED" w:rsidRPr="001E348C" w14:paraId="3278B69A" w14:textId="77777777" w:rsidTr="00B66F00">
        <w:trPr>
          <w:trHeight w:val="48"/>
        </w:trPr>
        <w:tc>
          <w:tcPr>
            <w:tcW w:w="468" w:type="dxa"/>
          </w:tcPr>
          <w:p w14:paraId="20F1F412" w14:textId="59FD651C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3746" w:type="dxa"/>
            <w:gridSpan w:val="3"/>
          </w:tcPr>
          <w:p w14:paraId="7D2D09B6" w14:textId="666FC728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Communication</w:t>
            </w:r>
          </w:p>
        </w:tc>
        <w:tc>
          <w:tcPr>
            <w:tcW w:w="5141" w:type="dxa"/>
            <w:gridSpan w:val="2"/>
          </w:tcPr>
          <w:p w14:paraId="78977EE8" w14:textId="770A10B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a. Good coordination among team members. The team members were transparent and hardworking with a good sense of responsibilities.</w:t>
            </w:r>
          </w:p>
          <w:p w14:paraId="43DA8DA4" w14:textId="2FA35F60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b. Effective communication plan (30 days, 7 days, go-live day) to the users, technical teams, and leadership.</w:t>
            </w:r>
          </w:p>
        </w:tc>
      </w:tr>
      <w:tr w:rsidR="005B4DED" w:rsidRPr="001E348C" w14:paraId="13CB6E6D" w14:textId="77777777" w:rsidTr="00B66F00">
        <w:trPr>
          <w:trHeight w:val="48"/>
        </w:trPr>
        <w:tc>
          <w:tcPr>
            <w:tcW w:w="468" w:type="dxa"/>
          </w:tcPr>
          <w:p w14:paraId="74BB2BD4" w14:textId="3957059F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3746" w:type="dxa"/>
            <w:gridSpan w:val="3"/>
          </w:tcPr>
          <w:p w14:paraId="4B8D69FD" w14:textId="0FF92002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 resources</w:t>
            </w:r>
          </w:p>
        </w:tc>
        <w:tc>
          <w:tcPr>
            <w:tcW w:w="5141" w:type="dxa"/>
            <w:gridSpan w:val="2"/>
          </w:tcPr>
          <w:p w14:paraId="0B27E010" w14:textId="644BF8AB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Team members were committed with the right attitudes that led to a successful implementation of the solution.</w:t>
            </w:r>
          </w:p>
        </w:tc>
      </w:tr>
      <w:tr w:rsidR="005B4DED" w:rsidRPr="001E348C" w14:paraId="408F7BA2" w14:textId="77777777" w:rsidTr="00B66F00">
        <w:trPr>
          <w:trHeight w:val="48"/>
        </w:trPr>
        <w:tc>
          <w:tcPr>
            <w:tcW w:w="468" w:type="dxa"/>
          </w:tcPr>
          <w:p w14:paraId="1C9E6880" w14:textId="2421DE89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3746" w:type="dxa"/>
            <w:gridSpan w:val="3"/>
          </w:tcPr>
          <w:p w14:paraId="041BC720" w14:textId="5CA1F38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Documentation</w:t>
            </w:r>
          </w:p>
        </w:tc>
        <w:tc>
          <w:tcPr>
            <w:tcW w:w="5141" w:type="dxa"/>
            <w:gridSpan w:val="2"/>
          </w:tcPr>
          <w:p w14:paraId="25B56B61" w14:textId="7875FB28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a. Service documentation was completed before the implementation. The documents are SOP, SDP, Policy configuration, </w:t>
            </w:r>
            <w:r w:rsidR="00694FF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and 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communication plan.</w:t>
            </w:r>
          </w:p>
          <w:p w14:paraId="38B2DB2F" w14:textId="46CB27B1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b. The internal resources supported and provided materials used for the various documents.</w:t>
            </w:r>
          </w:p>
        </w:tc>
      </w:tr>
      <w:tr w:rsidR="005B4DED" w:rsidRPr="001E348C" w14:paraId="031B407F" w14:textId="77777777" w:rsidTr="00B66F00">
        <w:trPr>
          <w:trHeight w:val="48"/>
        </w:trPr>
        <w:tc>
          <w:tcPr>
            <w:tcW w:w="468" w:type="dxa"/>
          </w:tcPr>
          <w:p w14:paraId="2158848B" w14:textId="04B9AF63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3746" w:type="dxa"/>
            <w:gridSpan w:val="3"/>
          </w:tcPr>
          <w:p w14:paraId="5BE1857D" w14:textId="70A4176C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Metrics and reporting</w:t>
            </w:r>
          </w:p>
        </w:tc>
        <w:tc>
          <w:tcPr>
            <w:tcW w:w="5141" w:type="dxa"/>
            <w:gridSpan w:val="2"/>
          </w:tcPr>
          <w:p w14:paraId="1FEEAB98" w14:textId="36C0EE65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a. Weekly and other generated reports are simplified – easy to understand. Policy violations are reported in real-time.</w:t>
            </w:r>
          </w:p>
          <w:p w14:paraId="75CAE0B4" w14:textId="2620832B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b. The pre-built dashboard allowed for quick analysis.</w:t>
            </w:r>
          </w:p>
        </w:tc>
      </w:tr>
      <w:tr w:rsidR="005B4DED" w:rsidRPr="001E348C" w14:paraId="4BA04F4E" w14:textId="77777777" w:rsidTr="00FD5D97">
        <w:trPr>
          <w:trHeight w:val="48"/>
        </w:trPr>
        <w:tc>
          <w:tcPr>
            <w:tcW w:w="9355" w:type="dxa"/>
            <w:gridSpan w:val="6"/>
          </w:tcPr>
          <w:p w14:paraId="51A1EA24" w14:textId="77777777" w:rsidR="005B4DED" w:rsidRPr="001E348C" w:rsidRDefault="005B4DED" w:rsidP="005B4DED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II. Areas of potential improvement along with high-impact improvement strategies:</w:t>
            </w:r>
          </w:p>
        </w:tc>
      </w:tr>
      <w:tr w:rsidR="005B4DED" w:rsidRPr="001E348C" w14:paraId="27D0D09B" w14:textId="77777777" w:rsidTr="00B66F00">
        <w:trPr>
          <w:trHeight w:val="38"/>
        </w:trPr>
        <w:tc>
          <w:tcPr>
            <w:tcW w:w="468" w:type="dxa"/>
          </w:tcPr>
          <w:p w14:paraId="600F3036" w14:textId="7777777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2470" w:type="dxa"/>
          </w:tcPr>
          <w:p w14:paraId="41B96F65" w14:textId="77777777" w:rsidR="005B4DED" w:rsidRPr="001E348C" w:rsidRDefault="005B4DED" w:rsidP="005B4DED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108" w:type="dxa"/>
            <w:gridSpan w:val="3"/>
          </w:tcPr>
          <w:p w14:paraId="01F33F20" w14:textId="77777777" w:rsidR="005B4DED" w:rsidRPr="001E348C" w:rsidRDefault="005B4DED" w:rsidP="005B4DED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Project Shortcomings</w:t>
            </w:r>
          </w:p>
        </w:tc>
        <w:tc>
          <w:tcPr>
            <w:tcW w:w="3309" w:type="dxa"/>
          </w:tcPr>
          <w:p w14:paraId="6BC96266" w14:textId="77777777" w:rsidR="005B4DED" w:rsidRPr="001E348C" w:rsidRDefault="005B4DED" w:rsidP="005B4DED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Lessons learned</w:t>
            </w:r>
          </w:p>
        </w:tc>
      </w:tr>
      <w:tr w:rsidR="005B4DED" w:rsidRPr="001E348C" w14:paraId="678ADB0D" w14:textId="77777777" w:rsidTr="001A658D">
        <w:trPr>
          <w:trHeight w:val="245"/>
        </w:trPr>
        <w:tc>
          <w:tcPr>
            <w:tcW w:w="468" w:type="dxa"/>
          </w:tcPr>
          <w:p w14:paraId="10DF83EF" w14:textId="1C8AC008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</w:p>
        </w:tc>
        <w:tc>
          <w:tcPr>
            <w:tcW w:w="2470" w:type="dxa"/>
          </w:tcPr>
          <w:p w14:paraId="3D60CA05" w14:textId="7777777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Functional</w:t>
            </w:r>
          </w:p>
          <w:p w14:paraId="69D50F16" w14:textId="2B823610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108" w:type="dxa"/>
            <w:gridSpan w:val="3"/>
          </w:tcPr>
          <w:p w14:paraId="4B35F3D6" w14:textId="3D7FCCCE" w:rsidR="005B4DED" w:rsidRPr="001E348C" w:rsidRDefault="005B4DED" w:rsidP="005B4DED">
            <w:pPr>
              <w:pStyle w:val="ListParagraph"/>
              <w:numPr>
                <w:ilvl w:val="0"/>
                <w:numId w:val="19"/>
              </w:numPr>
              <w:ind w:left="189" w:hanging="27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OneDrive Policy limitation</w:t>
            </w:r>
          </w:p>
          <w:p w14:paraId="2DB09FBA" w14:textId="6FB011E0" w:rsidR="005B4DED" w:rsidRPr="001E348C" w:rsidRDefault="005B4DED" w:rsidP="005B4DED">
            <w:pPr>
              <w:pStyle w:val="ListParagraph"/>
              <w:numPr>
                <w:ilvl w:val="0"/>
                <w:numId w:val="19"/>
              </w:numPr>
              <w:ind w:left="189" w:hanging="27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DLP Reporting permission</w:t>
            </w:r>
          </w:p>
        </w:tc>
        <w:tc>
          <w:tcPr>
            <w:tcW w:w="3309" w:type="dxa"/>
          </w:tcPr>
          <w:p w14:paraId="10DE8DAC" w14:textId="3238A5CD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100 ODFB users per policy.</w:t>
            </w:r>
          </w:p>
          <w:p w14:paraId="6BEC6927" w14:textId="638B6CA5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Create custom permission for the DLP reporting.</w:t>
            </w:r>
          </w:p>
        </w:tc>
      </w:tr>
      <w:tr w:rsidR="005B4DED" w:rsidRPr="001E348C" w14:paraId="20596E2D" w14:textId="77777777" w:rsidTr="00B66F00">
        <w:trPr>
          <w:trHeight w:val="38"/>
        </w:trPr>
        <w:tc>
          <w:tcPr>
            <w:tcW w:w="468" w:type="dxa"/>
          </w:tcPr>
          <w:p w14:paraId="5502727D" w14:textId="7777777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2. </w:t>
            </w:r>
          </w:p>
        </w:tc>
        <w:tc>
          <w:tcPr>
            <w:tcW w:w="2470" w:type="dxa"/>
          </w:tcPr>
          <w:p w14:paraId="1E6F185E" w14:textId="7777777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Continuous Improvement</w:t>
            </w:r>
          </w:p>
          <w:p w14:paraId="59EF0D69" w14:textId="595EA1B9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3108" w:type="dxa"/>
            <w:gridSpan w:val="3"/>
          </w:tcPr>
          <w:p w14:paraId="42E2537B" w14:textId="6245355B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End-user lifecycle management</w:t>
            </w:r>
          </w:p>
        </w:tc>
        <w:tc>
          <w:tcPr>
            <w:tcW w:w="3309" w:type="dxa"/>
          </w:tcPr>
          <w:p w14:paraId="7FA96375" w14:textId="20AC5DCF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team needs to research methods for automatic policy removal.</w:t>
            </w:r>
          </w:p>
        </w:tc>
      </w:tr>
      <w:tr w:rsidR="005B4DED" w:rsidRPr="003D0400" w14:paraId="5EB48168" w14:textId="77777777" w:rsidTr="00B66F00">
        <w:trPr>
          <w:trHeight w:val="38"/>
        </w:trPr>
        <w:tc>
          <w:tcPr>
            <w:tcW w:w="468" w:type="dxa"/>
          </w:tcPr>
          <w:p w14:paraId="6F3F2A3D" w14:textId="552610B2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2470" w:type="dxa"/>
          </w:tcPr>
          <w:p w14:paraId="65446B88" w14:textId="75C1E4B7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Business requirements</w:t>
            </w:r>
          </w:p>
        </w:tc>
        <w:tc>
          <w:tcPr>
            <w:tcW w:w="3108" w:type="dxa"/>
            <w:gridSpan w:val="3"/>
          </w:tcPr>
          <w:p w14:paraId="0CDE2689" w14:textId="71C82B09" w:rsidR="005B4DED" w:rsidRPr="001E348C" w:rsidRDefault="005B4DED" w:rsidP="005B4DED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ABA routing number</w:t>
            </w:r>
          </w:p>
        </w:tc>
        <w:tc>
          <w:tcPr>
            <w:tcW w:w="3309" w:type="dxa"/>
          </w:tcPr>
          <w:p w14:paraId="41791F59" w14:textId="2F5E2BD2" w:rsidR="005B4DED" w:rsidRDefault="005B4DED" w:rsidP="001C2500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It is not </w:t>
            </w:r>
            <w:r w:rsidR="001C25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effective</w:t>
            </w:r>
            <w:r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, and not required to be filtered because it is</w:t>
            </w:r>
            <w:r w:rsidR="001C25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1C25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>currently  public</w:t>
            </w:r>
            <w:proofErr w:type="gramEnd"/>
            <w:r w:rsidR="001C2500" w:rsidRPr="001E348C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information and not considered PII.</w:t>
            </w:r>
          </w:p>
        </w:tc>
      </w:tr>
    </w:tbl>
    <w:p w14:paraId="623FA32F" w14:textId="77777777" w:rsidR="00E97E5B" w:rsidRPr="000719EA" w:rsidRDefault="00E97E5B" w:rsidP="00694FF0">
      <w:pPr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</w:p>
    <w:sectPr w:rsidR="00E97E5B" w:rsidRPr="000719EA" w:rsidSect="00694FF0">
      <w:footerReference w:type="default" r:id="rId11"/>
      <w:pgSz w:w="12240" w:h="15840"/>
      <w:pgMar w:top="825" w:right="1440" w:bottom="630" w:left="1440" w:header="45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9BA3A" w14:textId="77777777" w:rsidR="005F5B71" w:rsidRDefault="005F5B71" w:rsidP="003D0400">
      <w:pPr>
        <w:spacing w:after="0" w:line="240" w:lineRule="auto"/>
      </w:pPr>
      <w:r>
        <w:separator/>
      </w:r>
    </w:p>
  </w:endnote>
  <w:endnote w:type="continuationSeparator" w:id="0">
    <w:p w14:paraId="336F003A" w14:textId="77777777" w:rsidR="005F5B71" w:rsidRDefault="005F5B71" w:rsidP="003D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8500C" w14:textId="74AC8AE0" w:rsidR="003D0400" w:rsidRDefault="003D0400">
    <w:pPr>
      <w:pStyle w:val="Footer"/>
      <w:jc w:val="right"/>
    </w:pPr>
    <w:r>
      <w:t xml:space="preserve">Page </w:t>
    </w:r>
    <w:sdt>
      <w:sdtPr>
        <w:id w:val="-20240042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58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DD39FDE" w14:textId="77777777" w:rsidR="003D0400" w:rsidRDefault="003D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F00D6" w14:textId="77777777" w:rsidR="005F5B71" w:rsidRDefault="005F5B71" w:rsidP="003D0400">
      <w:pPr>
        <w:spacing w:after="0" w:line="240" w:lineRule="auto"/>
      </w:pPr>
      <w:r>
        <w:separator/>
      </w:r>
    </w:p>
  </w:footnote>
  <w:footnote w:type="continuationSeparator" w:id="0">
    <w:p w14:paraId="4E695B4E" w14:textId="77777777" w:rsidR="005F5B71" w:rsidRDefault="005F5B71" w:rsidP="003D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878"/>
    <w:multiLevelType w:val="multilevel"/>
    <w:tmpl w:val="5F5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2A8A"/>
    <w:multiLevelType w:val="hybridMultilevel"/>
    <w:tmpl w:val="544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0DFE"/>
    <w:multiLevelType w:val="multilevel"/>
    <w:tmpl w:val="118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64365"/>
    <w:multiLevelType w:val="hybridMultilevel"/>
    <w:tmpl w:val="4A482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C6C16"/>
    <w:multiLevelType w:val="hybridMultilevel"/>
    <w:tmpl w:val="2744D8C4"/>
    <w:lvl w:ilvl="0" w:tplc="89028090">
      <w:start w:val="1"/>
      <w:numFmt w:val="lowerRoman"/>
      <w:lvlText w:val="%1."/>
      <w:lvlJc w:val="left"/>
      <w:pPr>
        <w:ind w:left="2162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B6F0">
      <w:start w:val="1"/>
      <w:numFmt w:val="lowerLetter"/>
      <w:lvlText w:val="%2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5AD688">
      <w:start w:val="1"/>
      <w:numFmt w:val="lowerRoman"/>
      <w:lvlText w:val="%3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6AA3F0">
      <w:start w:val="1"/>
      <w:numFmt w:val="decimal"/>
      <w:lvlText w:val="%4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C4BC0">
      <w:start w:val="1"/>
      <w:numFmt w:val="lowerLetter"/>
      <w:lvlText w:val="%5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8F228">
      <w:start w:val="1"/>
      <w:numFmt w:val="lowerRoman"/>
      <w:lvlText w:val="%6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2EAD56">
      <w:start w:val="1"/>
      <w:numFmt w:val="decimal"/>
      <w:lvlText w:val="%7"/>
      <w:lvlJc w:val="left"/>
      <w:pPr>
        <w:ind w:left="6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2C6BE0">
      <w:start w:val="1"/>
      <w:numFmt w:val="lowerLetter"/>
      <w:lvlText w:val="%8"/>
      <w:lvlJc w:val="left"/>
      <w:pPr>
        <w:ind w:left="7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6F550">
      <w:start w:val="1"/>
      <w:numFmt w:val="lowerRoman"/>
      <w:lvlText w:val="%9"/>
      <w:lvlJc w:val="left"/>
      <w:pPr>
        <w:ind w:left="7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41FB9"/>
    <w:multiLevelType w:val="multilevel"/>
    <w:tmpl w:val="6C1E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0D0"/>
    <w:multiLevelType w:val="multilevel"/>
    <w:tmpl w:val="71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E44C2"/>
    <w:multiLevelType w:val="hybridMultilevel"/>
    <w:tmpl w:val="E6027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F165E"/>
    <w:multiLevelType w:val="multilevel"/>
    <w:tmpl w:val="B1B8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1169F"/>
    <w:multiLevelType w:val="hybridMultilevel"/>
    <w:tmpl w:val="471C9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430F6"/>
    <w:multiLevelType w:val="hybridMultilevel"/>
    <w:tmpl w:val="399C9612"/>
    <w:lvl w:ilvl="0" w:tplc="36441D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D089D"/>
    <w:multiLevelType w:val="hybridMultilevel"/>
    <w:tmpl w:val="D3B67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5595A"/>
    <w:multiLevelType w:val="hybridMultilevel"/>
    <w:tmpl w:val="B0D201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F4C70"/>
    <w:multiLevelType w:val="hybridMultilevel"/>
    <w:tmpl w:val="485C7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549B1"/>
    <w:multiLevelType w:val="hybridMultilevel"/>
    <w:tmpl w:val="0952F9E6"/>
    <w:lvl w:ilvl="0" w:tplc="24AC1E8A">
      <w:start w:val="1"/>
      <w:numFmt w:val="lowerLetter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5" w15:restartNumberingAfterBreak="0">
    <w:nsid w:val="76DD5804"/>
    <w:multiLevelType w:val="hybridMultilevel"/>
    <w:tmpl w:val="14E863BA"/>
    <w:lvl w:ilvl="0" w:tplc="8384BF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041DB"/>
    <w:multiLevelType w:val="multilevel"/>
    <w:tmpl w:val="4AE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1138B"/>
    <w:multiLevelType w:val="hybridMultilevel"/>
    <w:tmpl w:val="1836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D085C"/>
    <w:multiLevelType w:val="hybridMultilevel"/>
    <w:tmpl w:val="3A682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7"/>
  </w:num>
  <w:num w:numId="5">
    <w:abstractNumId w:val="8"/>
    <w:lvlOverride w:ilvl="1">
      <w:startOverride w:val="1"/>
    </w:lvlOverride>
  </w:num>
  <w:num w:numId="6">
    <w:abstractNumId w:val="5"/>
    <w:lvlOverride w:ilvl="1">
      <w:startOverride w:val="1"/>
    </w:lvlOverride>
  </w:num>
  <w:num w:numId="7">
    <w:abstractNumId w:val="6"/>
    <w:lvlOverride w:ilvl="1">
      <w:startOverride w:val="1"/>
    </w:lvlOverride>
  </w:num>
  <w:num w:numId="8">
    <w:abstractNumId w:val="0"/>
    <w:lvlOverride w:ilvl="1">
      <w:startOverride w:val="1"/>
    </w:lvlOverride>
  </w:num>
  <w:num w:numId="9">
    <w:abstractNumId w:val="9"/>
  </w:num>
  <w:num w:numId="10">
    <w:abstractNumId w:val="7"/>
  </w:num>
  <w:num w:numId="11">
    <w:abstractNumId w:val="11"/>
  </w:num>
  <w:num w:numId="12">
    <w:abstractNumId w:val="2"/>
    <w:lvlOverride w:ilvl="1">
      <w:startOverride w:val="1"/>
    </w:lvlOverride>
  </w:num>
  <w:num w:numId="13">
    <w:abstractNumId w:val="16"/>
    <w:lvlOverride w:ilvl="1">
      <w:startOverride w:val="1"/>
    </w:lvlOverride>
  </w:num>
  <w:num w:numId="14">
    <w:abstractNumId w:val="4"/>
  </w:num>
  <w:num w:numId="15">
    <w:abstractNumId w:val="12"/>
  </w:num>
  <w:num w:numId="16">
    <w:abstractNumId w:val="3"/>
  </w:num>
  <w:num w:numId="17">
    <w:abstractNumId w:val="18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yNDY0tDQ3N7YwNzdS0lEKTi0uzszPAymwqAUA8d/mTCwAAAA="/>
  </w:docVars>
  <w:rsids>
    <w:rsidRoot w:val="00D53C1E"/>
    <w:rsid w:val="00014581"/>
    <w:rsid w:val="00060870"/>
    <w:rsid w:val="000630D6"/>
    <w:rsid w:val="00065934"/>
    <w:rsid w:val="000719EA"/>
    <w:rsid w:val="000A5C22"/>
    <w:rsid w:val="000B32E8"/>
    <w:rsid w:val="000C1658"/>
    <w:rsid w:val="000D3959"/>
    <w:rsid w:val="000D70FF"/>
    <w:rsid w:val="000D7379"/>
    <w:rsid w:val="000E4ADB"/>
    <w:rsid w:val="00102D68"/>
    <w:rsid w:val="00103D85"/>
    <w:rsid w:val="001321E0"/>
    <w:rsid w:val="00134C80"/>
    <w:rsid w:val="001428BD"/>
    <w:rsid w:val="0016384A"/>
    <w:rsid w:val="001917E7"/>
    <w:rsid w:val="001A658D"/>
    <w:rsid w:val="001B0977"/>
    <w:rsid w:val="001C2500"/>
    <w:rsid w:val="001C41CF"/>
    <w:rsid w:val="001C5CFE"/>
    <w:rsid w:val="001E348C"/>
    <w:rsid w:val="001F6E09"/>
    <w:rsid w:val="00244D37"/>
    <w:rsid w:val="002A2E6E"/>
    <w:rsid w:val="002C7C36"/>
    <w:rsid w:val="002D7BE5"/>
    <w:rsid w:val="002E15B2"/>
    <w:rsid w:val="003063DB"/>
    <w:rsid w:val="00323959"/>
    <w:rsid w:val="00331C14"/>
    <w:rsid w:val="00334116"/>
    <w:rsid w:val="00345A5A"/>
    <w:rsid w:val="00361540"/>
    <w:rsid w:val="00375084"/>
    <w:rsid w:val="00381351"/>
    <w:rsid w:val="003B5B0A"/>
    <w:rsid w:val="003C3B6C"/>
    <w:rsid w:val="003C4C3D"/>
    <w:rsid w:val="003D0400"/>
    <w:rsid w:val="003E09AD"/>
    <w:rsid w:val="003E32AA"/>
    <w:rsid w:val="00423D7A"/>
    <w:rsid w:val="00451F6B"/>
    <w:rsid w:val="004628F6"/>
    <w:rsid w:val="004706B4"/>
    <w:rsid w:val="00474C65"/>
    <w:rsid w:val="0049075F"/>
    <w:rsid w:val="004923BA"/>
    <w:rsid w:val="00497F02"/>
    <w:rsid w:val="004A124B"/>
    <w:rsid w:val="004A5AA7"/>
    <w:rsid w:val="004D29F8"/>
    <w:rsid w:val="004D7E55"/>
    <w:rsid w:val="004E1F79"/>
    <w:rsid w:val="005467B9"/>
    <w:rsid w:val="00554866"/>
    <w:rsid w:val="00587CC4"/>
    <w:rsid w:val="005B4DED"/>
    <w:rsid w:val="005C5CB7"/>
    <w:rsid w:val="005E6099"/>
    <w:rsid w:val="005E6B7E"/>
    <w:rsid w:val="005F1869"/>
    <w:rsid w:val="005F5B71"/>
    <w:rsid w:val="00610198"/>
    <w:rsid w:val="00616384"/>
    <w:rsid w:val="006208BD"/>
    <w:rsid w:val="006208FC"/>
    <w:rsid w:val="00623006"/>
    <w:rsid w:val="00643179"/>
    <w:rsid w:val="00653ECC"/>
    <w:rsid w:val="0067262C"/>
    <w:rsid w:val="00694FF0"/>
    <w:rsid w:val="006974D8"/>
    <w:rsid w:val="006B29DC"/>
    <w:rsid w:val="006F1BDB"/>
    <w:rsid w:val="0070121B"/>
    <w:rsid w:val="007257D8"/>
    <w:rsid w:val="00731466"/>
    <w:rsid w:val="00732160"/>
    <w:rsid w:val="00753F33"/>
    <w:rsid w:val="00755C5C"/>
    <w:rsid w:val="007566B9"/>
    <w:rsid w:val="007C75DF"/>
    <w:rsid w:val="007F4F0D"/>
    <w:rsid w:val="008025E4"/>
    <w:rsid w:val="008453EA"/>
    <w:rsid w:val="0086204C"/>
    <w:rsid w:val="008636E9"/>
    <w:rsid w:val="0086677D"/>
    <w:rsid w:val="008703D7"/>
    <w:rsid w:val="0088187F"/>
    <w:rsid w:val="008C5A13"/>
    <w:rsid w:val="008E0962"/>
    <w:rsid w:val="008E5474"/>
    <w:rsid w:val="008F6B4B"/>
    <w:rsid w:val="009037B8"/>
    <w:rsid w:val="0092557B"/>
    <w:rsid w:val="00941051"/>
    <w:rsid w:val="00941CC2"/>
    <w:rsid w:val="009421B3"/>
    <w:rsid w:val="00942FF0"/>
    <w:rsid w:val="00982A6B"/>
    <w:rsid w:val="009973FB"/>
    <w:rsid w:val="009A5FDB"/>
    <w:rsid w:val="009D1002"/>
    <w:rsid w:val="009D4B47"/>
    <w:rsid w:val="009E383F"/>
    <w:rsid w:val="009E7EB0"/>
    <w:rsid w:val="009F29E2"/>
    <w:rsid w:val="009F2A28"/>
    <w:rsid w:val="00A442DC"/>
    <w:rsid w:val="00A4493E"/>
    <w:rsid w:val="00AB0E81"/>
    <w:rsid w:val="00AC18E4"/>
    <w:rsid w:val="00AD653D"/>
    <w:rsid w:val="00AE0040"/>
    <w:rsid w:val="00AE10A1"/>
    <w:rsid w:val="00AE298D"/>
    <w:rsid w:val="00AE562C"/>
    <w:rsid w:val="00AF5AAC"/>
    <w:rsid w:val="00B47FEB"/>
    <w:rsid w:val="00B554B9"/>
    <w:rsid w:val="00B66F00"/>
    <w:rsid w:val="00B84103"/>
    <w:rsid w:val="00B873D1"/>
    <w:rsid w:val="00BB692C"/>
    <w:rsid w:val="00BC4BE0"/>
    <w:rsid w:val="00BD5280"/>
    <w:rsid w:val="00BE426C"/>
    <w:rsid w:val="00BE7562"/>
    <w:rsid w:val="00C30F51"/>
    <w:rsid w:val="00C42E51"/>
    <w:rsid w:val="00C57724"/>
    <w:rsid w:val="00C74CB1"/>
    <w:rsid w:val="00CD0B90"/>
    <w:rsid w:val="00CE288B"/>
    <w:rsid w:val="00CF74F2"/>
    <w:rsid w:val="00D031B5"/>
    <w:rsid w:val="00D203F1"/>
    <w:rsid w:val="00D53C1E"/>
    <w:rsid w:val="00D65475"/>
    <w:rsid w:val="00D76AB4"/>
    <w:rsid w:val="00D91CF6"/>
    <w:rsid w:val="00DA2224"/>
    <w:rsid w:val="00DA4A0C"/>
    <w:rsid w:val="00DA59FC"/>
    <w:rsid w:val="00DB0AFF"/>
    <w:rsid w:val="00DB6897"/>
    <w:rsid w:val="00DB72D8"/>
    <w:rsid w:val="00DD3D83"/>
    <w:rsid w:val="00E11CF4"/>
    <w:rsid w:val="00E15EFF"/>
    <w:rsid w:val="00E167DE"/>
    <w:rsid w:val="00E303C4"/>
    <w:rsid w:val="00E5536D"/>
    <w:rsid w:val="00E65F1D"/>
    <w:rsid w:val="00E66590"/>
    <w:rsid w:val="00E7496D"/>
    <w:rsid w:val="00E97E5B"/>
    <w:rsid w:val="00EB1029"/>
    <w:rsid w:val="00EC169B"/>
    <w:rsid w:val="00EF03A8"/>
    <w:rsid w:val="00F21DE4"/>
    <w:rsid w:val="00F47E72"/>
    <w:rsid w:val="00F65811"/>
    <w:rsid w:val="00FA7775"/>
    <w:rsid w:val="00FB14AD"/>
    <w:rsid w:val="00FB213B"/>
    <w:rsid w:val="00FB351E"/>
    <w:rsid w:val="00FD5D97"/>
    <w:rsid w:val="00FE2745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EB94"/>
  <w15:chartTrackingRefBased/>
  <w15:docId w15:val="{BFD332E8-5AC6-46EB-BAC3-404EFFE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00"/>
  </w:style>
  <w:style w:type="paragraph" w:styleId="Footer">
    <w:name w:val="footer"/>
    <w:basedOn w:val="Normal"/>
    <w:link w:val="Foot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00"/>
  </w:style>
  <w:style w:type="paragraph" w:styleId="BalloonText">
    <w:name w:val="Balloon Text"/>
    <w:basedOn w:val="Normal"/>
    <w:link w:val="BalloonTextChar"/>
    <w:uiPriority w:val="99"/>
    <w:semiHidden/>
    <w:unhideWhenUsed/>
    <w:rsid w:val="001C4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0164\Desktop\SharePoint%20Re-Upload\Project%20Lessons%20Learn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F8FFD70B10C4FB7BE910EB4D14DA7" ma:contentTypeVersion="1" ma:contentTypeDescription="Create a new document." ma:contentTypeScope="" ma:versionID="8a9d3a894f77196523d042a2d985c8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831F-5DC4-4A41-840E-DFD55E74C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343D8C-4ADB-41AC-AC9F-33DB5A7A8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7F2C7-4089-48B7-ABF4-9D8A8EA5A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C76D9-509A-4516-AE4C-0933AFFC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 Template</Template>
  <TotalTime>354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Lessons Learned Template</vt:lpstr>
    </vt:vector>
  </TitlesOfParts>
  <Company>University of North Texas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Sfloyd</dc:creator>
  <cp:keywords>Closing</cp:keywords>
  <dc:description/>
  <cp:lastModifiedBy>Atolagbe-Olaoye, Abidemi</cp:lastModifiedBy>
  <cp:revision>31</cp:revision>
  <cp:lastPrinted>2017-12-07T17:39:00Z</cp:lastPrinted>
  <dcterms:created xsi:type="dcterms:W3CDTF">2019-04-09T14:18:00Z</dcterms:created>
  <dcterms:modified xsi:type="dcterms:W3CDTF">2020-03-27T19:59:00Z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0x010100D9CF8FFD70B10C4FB7BE910EB4D14DA7</vt:lpwstr>
  </property>
  <property fmtid="{D5CDD505-2E9C-101B-9397-08002B2CF9AE}" pid="3" name="Order">
    <vt:r8>5000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