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Security Policy Recommendations</w:t>
      </w:r>
    </w:p>
    <w:p>
      <w:pPr>
        <w:spacing w:after="260"/>
        <w:jc w:val="center"/>
      </w:pPr>
      <w:r>
        <w:rPr>
          <w:i/>
          <w:iCs/>
          <w:color w:val="2E75B6"/>
          <w:sz w:val="24"/>
          <w:szCs w:val="24"/>
        </w:rPr>
        <w:t xml:space="preserve">Closing Gaps in Web Filtering and Endpoint Session Security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4"/>
          <w:insideV w:val="single" w:color="E0E0E0" w:sz="4"/>
        </w:tblBorders>
      </w:tblPr>
      <w:tblGrid>
        <w:gridCol w:w="2200"/>
        <w:gridCol w:w="7300"/>
      </w:tblGrid>
      <w:tr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Cybersecurity Engineer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19, 2026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Audience: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Management / IT Leadership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– For Review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60" w:line="276"/>
      </w:pPr>
      <w:r>
        <w:rPr>
          <w:sz w:val="22"/>
          <w:szCs w:val="22"/>
        </w:rPr>
        <w:t xml:space="preserve">During my initial review of our security posture, I identified two gaps that create real, measurable risk to the organization: (1) our web filtering model allows all traffic by default and only blocks known-bad sites, leaving newly registered and uncategorized malicious domains free to reach users; and (2) we have no policy or reporting mechanism covering unattended, unlocked workstations or the use of shared logins, which breaks accountability and opens an easy path to data exposure.</w:t>
      </w:r>
    </w:p>
    <w:p>
      <w:pPr>
        <w:spacing w:after="160" w:line="276"/>
      </w:pPr>
      <w:r>
        <w:rPr>
          <w:sz w:val="22"/>
          <w:szCs w:val="22"/>
        </w:rPr>
        <w:t xml:space="preserve">Neither issue requires a large budget to fix. Both are addressed through configuration changes to existing tools, a short policy update, and a lightweight reporting process tied to KPIs so progress is visible and sustained. This report lays out the problem, the business risk, and the recommended fix for each, with a summary table at the end for quick reference.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Risk Overview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20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Area</w:t>
            </w:r>
          </w:p>
        </w:tc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Exposure</w:t>
            </w:r>
          </w:p>
        </w:tc>
        <w:tc>
          <w:tcPr>
            <w:tcW w:type="dxa" w:w="2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 Filtering Gap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Default-allow model; unclassified/new malicious domains reach users</w:t>
            </w:r>
          </w:p>
        </w:tc>
        <w:tc>
          <w:tcPr>
            <w:tcW w:type="dxa" w:w="2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Unlocked / Shared Workstations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policy, no monitoring, no accountability for physical access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Medium–High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Web Filtering: Default-Allow Model Leaves Gaps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The Problem</w:t>
      </w:r>
    </w:p>
    <w:p>
      <w:pPr>
        <w:spacing w:after="160" w:line="276"/>
      </w:pPr>
      <w:r>
        <w:rPr>
          <w:sz w:val="22"/>
          <w:szCs w:val="22"/>
        </w:rPr>
        <w:t xml:space="preserve">Our current web filtering policy is built on a default-allow model: every domain is permitted unless it has been manually blocked or falls under a category we have chosen to block. This sounds reasonable, but it means the system only stops threats we already know about — it does nothing for the threats we don't.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New or newly registered domains used for phishing and malware delivery are allowed through until someone notices and blocks them manually — by then, the damage may already be done.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Category feeds have blind spots and lag behind reality. A malicious site hosted on legitimate cloud or CDN infrastructure, or simply not yet classified, is never assigned to a “malicious” category and is never blocked.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Uncategorized traffic — exactly the traffic most likely to be new or malicious — is allowed by default instead of being treated as higher risk.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The model is reactive: we typically respond to a malicious domain only after it has already been used against us, not before.</w:t>
      </w:r>
    </w:p>
    <w:p>
      <w:pPr>
        <w:spacing w:after="160" w:line="276"/>
      </w:pPr>
      <w:r>
        <w:rPr>
          <w:b w:val="false"/>
          <w:bCs w:val="false"/>
          <w:sz w:val="22"/>
          <w:szCs w:val="22"/>
        </w:rPr>
        <w:t xml:space="preserve">The business impact is direct: a higher likelihood of phishing pages, malware downloads, and command-and-control traffic reaching users unblocked, increasing the chance of a costly incident — downtime, incident response cost, and potential breach notification and reputational exposure.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The Solution</w:t>
      </w:r>
    </w:p>
    <w:p>
      <w:pPr>
        <w:spacing w:after="160" w:line="276"/>
      </w:pPr>
      <w:r>
        <w:rPr>
          <w:sz w:val="22"/>
          <w:szCs w:val="22"/>
        </w:rPr>
        <w:t xml:space="preserve">I recommend moving from a default-allow model to a risk-based approach that blocks by default in the categories most associated with malicious activity, and only allows exceptions through a fast, controlled process: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Block newly registered domains (NRDs) for an initial cooling-off period (e.g. 30 days) — one of the strongest, most cost-effective phishing indicators available.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Treat uncategorized/unknown domains as blocked by default rather than allowed, with a simple business-exception request process for legitimate sites that get miscategorized.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Enable real-time threat-intelligence categories (malware, phishing, botnet C2, anonymizers/proxies) with automatic feed updates, instead of relying only on static category lists.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Add DNS-layer (protective DNS) filtering as a second layer of defense, since web filtering alone can be bypassed at the DNS level.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Run a monthly review of blocked/allowed traffic and periodic testing against known-bad indicator feeds, to confirm coverage is actually working.</w:t>
      </w:r>
    </w:p>
    <w:p>
      <w:pPr>
        <w:spacing w:after="160" w:line="276"/>
      </w:pPr>
      <w:r>
        <w:rPr>
          <w:sz w:val="22"/>
          <w:szCs w:val="22"/>
        </w:rPr>
        <w:t xml:space="preserve">Suggested KPI: percentage reduction in uncategorized-domain traffic reaching endpoints, and average time-to-block for newly identified malicious domains — tracked monthly.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Unattended and Shared Workstations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The Problem</w:t>
      </w:r>
    </w:p>
    <w:p>
      <w:pPr>
        <w:spacing w:after="160" w:line="276"/>
      </w:pPr>
      <w:r>
        <w:rPr>
          <w:sz w:val="22"/>
          <w:szCs w:val="22"/>
        </w:rPr>
        <w:t xml:space="preserve">We have observed a recurring pattern: employees using a colleague's PC or login instead of their own, and staff stepping away from their desk — for breaks, meetings, or at end of day — without locking their workstation. Today there is no policy that addresses this directly, and no reporting mechanism to detect, measure, or track it.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An unlocked, unattended workstation can be accessed by anyone nearby — a colleague, a visitor, cleaning staff — to view confidential data, send messages as that user, reach internal systems, or plant malicious software, all attributed to the logged-in employee rather than the person who actually did it.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Using someone else's login breaks the audit trail entirely: if an incident, data leak, or policy violation occurs, it cannot be reliably traced to the person who actually performed the action — undermining accountability and any forensic investigation.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2"/>
          <w:szCs w:val="22"/>
        </w:rPr>
        <w:t xml:space="preserve">Because there is no policy or reporting today, this is invisible to management: we have no data on how widespread it is, no consequence for repeat behavior, and no way to show it improving over time.</w:t>
      </w:r>
    </w:p>
    <w:p>
      <w:pPr>
        <w:spacing w:after="160" w:line="276"/>
      </w:pPr>
      <w:r>
        <w:rPr>
          <w:sz w:val="22"/>
          <w:szCs w:val="22"/>
        </w:rPr>
        <w:t xml:space="preserve">This also creates compliance exposure: frameworks such as ISO 27001, PCI DSS, and SOC 2 explicitly expect session-lock controls and unique user accountability. Without them, we have a harder time demonstrating due diligence to auditors, customers, or regulators.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The Solution</w:t>
      </w:r>
    </w:p>
    <w:p>
      <w:pPr>
        <w:spacing w:after="160" w:line="276"/>
      </w:pPr>
      <w:r>
        <w:rPr>
          <w:sz w:val="22"/>
          <w:szCs w:val="22"/>
        </w:rPr>
        <w:t xml:space="preserve">This needs a policy, backed by technical enforcement, backed by measurement — policy alone will not change behavior on its own: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2"/>
          <w:szCs w:val="22"/>
        </w:rPr>
        <w:t xml:space="preserve">Policy: </w:t>
      </w:r>
      <w:r>
        <w:rPr>
          <w:sz w:val="22"/>
          <w:szCs w:val="22"/>
        </w:rPr>
        <w:t xml:space="preserve">publish a Clear Desk &amp; Screen Lock policy and an Acceptable Use addendum that explicitly prohibits sharing logins or workstations, with defined consequences for repeat violations.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2"/>
          <w:szCs w:val="22"/>
        </w:rPr>
        <w:t xml:space="preserve">Technical controls: </w:t>
      </w:r>
      <w:r>
        <w:rPr>
          <w:sz w:val="22"/>
          <w:szCs w:val="22"/>
        </w:rPr>
        <w:t xml:space="preserve">enforce automatic screen lock after a short idle period (e.g. 5 minutes) organization-wide via Group Policy/MDM; enforce unique individual logins with no shared local accounts; where feasible, require badge tap or Windows Hello to unlock.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2"/>
          <w:szCs w:val="22"/>
        </w:rPr>
        <w:t xml:space="preserve">Reporting mechanism: </w:t>
      </w:r>
      <w:r>
        <w:rPr>
          <w:sz w:val="22"/>
          <w:szCs w:val="22"/>
        </w:rPr>
        <w:t xml:space="preserve">generate a recurring (weekly or monthly) report from endpoint/AD logs showing workstations left unlocked beyond the policy threshold and logon patterns suggesting shared-account use, broken out by department, and route it to department managers — not just IT — so accountability sits with the business.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2"/>
          <w:szCs w:val="22"/>
        </w:rPr>
        <w:t xml:space="preserve">KPI integration: </w:t>
      </w:r>
      <w:r>
        <w:rPr>
          <w:sz w:val="22"/>
          <w:szCs w:val="22"/>
        </w:rPr>
        <w:t xml:space="preserve">add screen-lock compliance and shared-account incidents as a tracked metric in department/team scorecards, reviewed alongside existing KPIs, with a target of month-over-month reduction and a published trend so improvement is visible and reinforced.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2"/>
          <w:szCs w:val="22"/>
        </w:rPr>
        <w:t xml:space="preserve">Reinforcement: </w:t>
      </w:r>
      <w:r>
        <w:rPr>
          <w:sz w:val="22"/>
          <w:szCs w:val="22"/>
        </w:rPr>
        <w:t xml:space="preserve">pair the rollout with a short security-awareness reminder and a few informal spot checks in the first weeks to build the habit.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Summary of Recommendations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500"/>
        <w:gridCol w:w="3600"/>
        <w:gridCol w:w="1300"/>
        <w:gridCol w:w="1580"/>
      </w:tblGrid>
      <w:tr>
        <w:trPr>
          <w:tblHeader/>
        </w:trPr>
        <w:tc>
          <w:tcPr>
            <w:tcW w:type="dxa" w:w="52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filtering allows all traffic by default; unknown/new malicious domains are not blocked.</w:t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to risk-based default-deny for unknown and newly registered domains; add real-time threat-intel categories and DNS-layer filtering.</w:t>
            </w:r>
          </w:p>
        </w:tc>
        <w:tc>
          <w:tcPr>
            <w:tcW w:type="dxa" w:w="1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Security / Network Team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policy or reporting for unlocked/shared workstations; no accountability.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 auto-lock and unique logins; build a violation report; add compliance to department KPIs.</w:t>
            </w:r>
          </w:p>
        </w:tc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Security + HR / Dept. Managers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Next Steps</w:t>
      </w:r>
    </w:p>
    <w:p>
      <w:pPr>
        <w:spacing w:after="160" w:line="276"/>
      </w:pPr>
      <w:r>
        <w:rPr>
          <w:sz w:val="22"/>
          <w:szCs w:val="22"/>
        </w:rPr>
        <w:t xml:space="preserve">Both recommendations are low-cost relative to the risk they remove, and both turn an invisible, reactive risk into something we can measure and manage. I'm asking management to approve two things: reconfiguring the web filtering policy to a risk-based, default-deny model for unknown traffic, and signing off on the screen-lock / shared-account policy along with its inclusion in departmental KPIs so IT and HR can begin rollout and reporting next cycle.</w:t>
      </w:r>
    </w:p>
    <w:p>
      <w:pPr>
        <w:spacing w:after="160" w:line="276"/>
      </w:pPr>
      <w:r>
        <w:rPr>
          <w:sz w:val="22"/>
          <w:szCs w:val="22"/>
        </w:rPr>
        <w:t xml:space="preserve">I'm happy to walk through implementation timelines, tooling changes, and any cost estimates in more detail.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Security Policy Recommendations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2026-07-19T11:28:03.189Z</dcterms:created>
  <dcterms:modified xsi:type="dcterms:W3CDTF">2026-07-19T11:28:03.190Z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