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 xml:space="preserve">Security Policy Recommendations</w:t>
      </w:r>
    </w:p>
    <w:p>
      <w:pPr>
        <w:spacing w:after="260"/>
        <w:jc w:val="center"/>
      </w:pPr>
      <w:r>
        <w:rPr>
          <w:i/>
          <w:iCs/>
          <w:color w:val="2E75B6"/>
          <w:sz w:val="24"/>
          <w:szCs w:val="24"/>
        </w:rPr>
        <w:t xml:space="preserve">Closing Gaps in Web Filtering and Endpoint Session Security</w:t>
      </w:r>
    </w:p>
    <w:tbl>
      <w:tblPr>
        <w:tblW w:type="dxa" w:w="95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E0E0E0" w:sz="4"/>
          <w:insideV w:val="single" w:color="E0E0E0" w:sz="4"/>
        </w:tblBorders>
      </w:tblPr>
      <w:tblGrid>
        <w:gridCol w:w="2200"/>
        <w:gridCol w:w="7300"/>
      </w:tblGrid>
      <w:tr>
        <w:tc>
          <w:tcPr>
            <w:tcW w:type="dxa" w:w="2200"/>
            <w:shd w:fill="DDEB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Prepared by:</w:t>
            </w:r>
          </w:p>
        </w:tc>
        <w:tc>
          <w:tcPr>
            <w:tcW w:type="dxa" w:w="7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Cybersecurity Engineer</w:t>
            </w:r>
          </w:p>
        </w:tc>
      </w:tr>
      <w:tr>
        <w:tc>
          <w:tcPr>
            <w:tcW w:type="dxa" w:w="2200"/>
            <w:shd w:fill="DDEB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Date:</w:t>
            </w:r>
          </w:p>
        </w:tc>
        <w:tc>
          <w:tcPr>
            <w:tcW w:type="dxa" w:w="7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July 19, 2026</w:t>
            </w:r>
          </w:p>
        </w:tc>
      </w:tr>
      <w:tr>
        <w:tc>
          <w:tcPr>
            <w:tcW w:type="dxa" w:w="2200"/>
            <w:shd w:fill="DDEB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Audience:</w:t>
            </w:r>
          </w:p>
        </w:tc>
        <w:tc>
          <w:tcPr>
            <w:tcW w:type="dxa" w:w="7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Senior Management / IT Leadership</w:t>
            </w:r>
          </w:p>
        </w:tc>
      </w:tr>
      <w:tr>
        <w:tc>
          <w:tcPr>
            <w:tcW w:type="dxa" w:w="2200"/>
            <w:shd w:fill="DDEB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Classification:</w:t>
            </w:r>
          </w:p>
        </w:tc>
        <w:tc>
          <w:tcPr>
            <w:tcW w:type="dxa" w:w="7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 – For Review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28"/>
          <w:szCs w:val="28"/>
        </w:rPr>
        <w:t xml:space="preserve">Executive Summary</w:t>
      </w:r>
    </w:p>
    <w:p>
      <w:pPr>
        <w:spacing w:after="160" w:line="276"/>
      </w:pPr>
      <w:r>
        <w:rPr>
          <w:sz w:val="22"/>
          <w:szCs w:val="22"/>
        </w:rPr>
        <w:t xml:space="preserve">During my initial review of our security posture, I identified two gaps that create real, measurable risk to the organization: (1) our web filtering model allows all traffic by default and only blocks known-bad sites, leaving newly registered and uncategorized malicious domains — and outbound malware callbacks that were never categorized in the first place — free to reach or leave the network; and (2) we have no policy or reporting mechanism covering unattended, unlocked workstations or the use of shared logins, which breaks accountability and opens an easy path to data exposure.</w:t>
      </w:r>
    </w:p>
    <w:p>
      <w:pPr>
        <w:spacing w:after="160" w:line="276"/>
      </w:pPr>
      <w:r>
        <w:rPr>
          <w:sz w:val="22"/>
          <w:szCs w:val="22"/>
        </w:rPr>
        <w:t xml:space="preserve">Neither issue requires a large budget to fix. Both are addressed through configuration changes to existing tools, a short policy update, and a lightweight reporting process tied to KPIs so progress is visible and sustained. This report lays out the problem, the business risk, and the recommended fix for each, with a summary table at the end for quick reference.</w:t>
      </w:r>
    </w:p>
    <w:p>
      <w:pPr>
        <w:pStyle w:val="Heading2"/>
        <w:spacing w:after="100" w:before="240"/>
      </w:pPr>
      <w:r>
        <w:rPr>
          <w:b/>
          <w:bCs/>
          <w:color w:val="2E75B6"/>
          <w:sz w:val="24"/>
          <w:szCs w:val="24"/>
        </w:rPr>
        <w:t xml:space="preserve">Risk Overview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2000"/>
        <w:gridCol w:w="2000"/>
      </w:tblGrid>
      <w:tr>
        <w:trPr>
          <w:tblHeader/>
        </w:trPr>
        <w:tc>
          <w:tcPr>
            <w:tcW w:type="dxa" w:w="1600"/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Risk Area</w:t>
            </w:r>
          </w:p>
        </w:tc>
        <w:tc>
          <w:tcPr>
            <w:tcW w:type="dxa" w:w="2600"/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Current Exposure</w:t>
            </w:r>
          </w:p>
        </w:tc>
        <w:tc>
          <w:tcPr>
            <w:tcW w:type="dxa" w:w="2000"/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2000"/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Business Impact</w:t>
            </w:r>
          </w:p>
        </w:tc>
      </w:tr>
      <w:tr>
        <w:tc>
          <w:tcPr>
            <w:tcW w:type="dxa" w:w="16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Web Filtering Gap</w:t>
            </w:r>
          </w:p>
        </w:tc>
        <w:tc>
          <w:tcPr>
            <w:tcW w:type="dxa" w:w="26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Default-allow model; unclassified domains and malware reverse connections are not blocked</w:t>
            </w:r>
          </w:p>
        </w:tc>
        <w:tc>
          <w:tcPr>
            <w:tcW w:type="dxa" w:w="20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High</w:t>
            </w:r>
          </w:p>
        </w:tc>
        <w:tc>
          <w:tcPr>
            <w:tcW w:type="dxa" w:w="20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Unlocked / Shared Workstations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policy, no monitoring, no accountability for physical access</w:t>
            </w:r>
          </w:p>
        </w:tc>
        <w:tc>
          <w:tcPr>
            <w:tcW w:type="dxa" w:w="2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High</w:t>
            </w:r>
          </w:p>
        </w:tc>
        <w:tc>
          <w:tcPr>
            <w:tcW w:type="dxa" w:w="2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Medium–High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28"/>
          <w:szCs w:val="28"/>
        </w:rPr>
        <w:t xml:space="preserve">1. Web Filtering: Default-Allow Model Leaves Gaps</w:t>
      </w:r>
    </w:p>
    <w:p>
      <w:pPr>
        <w:pStyle w:val="Heading2"/>
        <w:spacing w:after="100" w:before="240"/>
      </w:pPr>
      <w:r>
        <w:rPr>
          <w:b/>
          <w:bCs/>
          <w:color w:val="2E75B6"/>
          <w:sz w:val="24"/>
          <w:szCs w:val="24"/>
        </w:rPr>
        <w:t xml:space="preserve">The Problem</w:t>
      </w:r>
    </w:p>
    <w:p>
      <w:pPr>
        <w:spacing w:after="160" w:line="276"/>
      </w:pPr>
      <w:r>
        <w:rPr>
          <w:sz w:val="22"/>
          <w:szCs w:val="22"/>
        </w:rPr>
        <w:t xml:space="preserve">Our current web filtering policy is built on a default-allow model: every domain is permitted unless it has been manually blocked or falls under a category we have chosen to block. This sounds reasonable, but it means the system only stops threats we already know about — it does nothing for the threats we don't.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2"/>
          <w:szCs w:val="22"/>
        </w:rPr>
        <w:t xml:space="preserve">New or newly registered domains used for phishing and malware delivery are allowed through until someone notices and blocks them manually — by then, the damage may already be done.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2"/>
          <w:szCs w:val="22"/>
        </w:rPr>
        <w:t xml:space="preserve">Category feeds have blind spots and lag behind reality. A malicious site hosted on legitimate cloud or CDN infrastructure, or simply not yet classified, is never assigned to a “malicious” category and is never blocked.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2"/>
          <w:szCs w:val="22"/>
        </w:rPr>
        <w:t xml:space="preserve">Uncategorized traffic — exactly the traffic most likely to be new or malicious — is allowed by default instead of being treated as higher risk.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2"/>
          <w:szCs w:val="22"/>
        </w:rPr>
        <w:t xml:space="preserve">The model is reactive: we typically respond to a malicious domain only after it has already been used against us, not before.</w:t>
      </w:r>
    </w:p>
    <w:p>
      <w:pPr>
        <w:spacing w:after="160" w:line="276"/>
      </w:pPr>
      <w:r>
        <w:rPr>
          <w:b w:val="false"/>
          <w:bCs w:val="false"/>
          <w:sz w:val="22"/>
          <w:szCs w:val="22"/>
        </w:rPr>
        <w:t xml:space="preserve">The business impact is direct: a higher likelihood of phishing pages, malware downloads, and command-and-control traffic reaching users unblocked, increasing the chance of a costly incident — downtime, incident response cost, and potential breach notification and reputational exposure.</w:t>
      </w:r>
    </w:p>
    <w:p>
      <w:pPr>
        <w:spacing w:after="120" w:before="60"/>
      </w:pPr>
    </w:p>
    <w:tbl>
      <w:tblPr>
        <w:tblW w:type="dxa" w:w="9500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shd w:fill="FDED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90"/>
            </w:pPr>
            <w:r>
              <w:rPr>
                <w:b/>
                <w:bCs/>
                <w:color w:val="C00000"/>
                <w:sz w:val="22"/>
                <w:szCs w:val="22"/>
              </w:rPr>
              <w:t xml:space="preserve">Worked example: this can happen through a site the filter never blocked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68"/>
            </w:pPr>
            <w:r>
              <w:rPr>
                <w:sz w:val="22"/>
                <w:szCs w:val="22"/>
              </w:rPr>
              <w:t xml:space="preserve">A user visits a site that is not on any block list and is not miscategorized — nothing about it looks suspicious, because at that moment nothing about it is known to be bad.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68"/>
            </w:pPr>
            <w:r>
              <w:rPr>
                <w:sz w:val="22"/>
                <w:szCs w:val="22"/>
              </w:rPr>
              <w:t xml:space="preserve">A malicious file is delivered from that site and downloaded onto the endpoint, often without the user clicking anything or ever realizing it happened — for example a compromised legitimate page or a bundled drive-by download.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68"/>
            </w:pPr>
            <w:r>
              <w:rPr>
                <w:sz w:val="22"/>
                <w:szCs w:val="22"/>
              </w:rPr>
              <w:t xml:space="preserve">The file runs and opens an outbound “reverse connection” back to the attacker, handing them remote control of the machine.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68"/>
            </w:pPr>
            <w:r>
              <w:rPr>
                <w:sz w:val="22"/>
                <w:szCs w:val="22"/>
              </w:rPr>
              <w:t xml:space="preserve">Because that outbound destination is new and has never been categorized as malicious, our current default-allow model lets the connection out — the attacker now has a live foothold inside the network, and we find out only after the fact.</w:t>
            </w:r>
          </w:p>
          <w:p>
            <w:pPr>
              <w:spacing w:after="0" w:before="40"/>
            </w:pPr>
            <w:r>
              <w:rPr>
                <w:b/>
                <w:bCs/>
                <w:color w:val="C00000"/>
                <w:sz w:val="22"/>
                <w:szCs w:val="22"/>
              </w:rPr>
              <w:t xml:space="preserve">Category and reputation feeds can only block a destination that has already been identified as bad. They cannot stop a first-time connection to attacker infrastructure nobody has seen before — and that is exactly what a malware reverse connection looks like.</w:t>
            </w:r>
          </w:p>
        </w:tc>
      </w:tr>
    </w:tbl>
    <w:p>
      <w:pPr>
        <w:spacing w:after="200"/>
      </w:pPr>
    </w:p>
    <w:p>
      <w:pPr>
        <w:pStyle w:val="Heading2"/>
        <w:spacing w:after="100" w:before="240"/>
      </w:pPr>
      <w:r>
        <w:rPr>
          <w:b/>
          <w:bCs/>
          <w:color w:val="2E75B6"/>
          <w:sz w:val="24"/>
          <w:szCs w:val="24"/>
        </w:rPr>
        <w:t xml:space="preserve">The Solution</w:t>
      </w:r>
    </w:p>
    <w:p>
      <w:pPr>
        <w:spacing w:after="160" w:line="276"/>
      </w:pPr>
      <w:r>
        <w:rPr>
          <w:sz w:val="22"/>
          <w:szCs w:val="22"/>
        </w:rPr>
        <w:t xml:space="preserve">The layered improvements below reduce exposure, but on their own they are still built on the same underlying model as today: block what is known, allow everything else. That model can never fully close the scenario above, because it only works once a destination has already been flagged. The only way to close that gap completely is to invert the model for outbound (egress) traffic: deny everything by default, and allow only destinations the business has explicitly approved. Under that model it does not matter whether a reverse-connection destination is brand new or has never been categorized at all — if it is not on the approved list, the connection simply does not go through.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2"/>
          <w:szCs w:val="22"/>
        </w:rPr>
        <w:t xml:space="preserve">Move outbound traffic to a default-deny (allow-list) model: </w:t>
      </w:r>
      <w:r>
        <w:rPr>
          <w:sz w:val="22"/>
          <w:szCs w:val="22"/>
        </w:rPr>
        <w:t xml:space="preserve">deny all outbound connections except to destinations the business has explicitly approved, so an unknown or first-seen callback — including a malware reverse connection — is blocked automatically, not just sites we already know are bad.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2"/>
          <w:szCs w:val="22"/>
        </w:rPr>
        <w:t xml:space="preserve">Roll it out in phases to keep it operationally realistic: </w:t>
      </w:r>
      <w:r>
        <w:rPr>
          <w:sz w:val="22"/>
          <w:szCs w:val="22"/>
        </w:rPr>
        <w:t xml:space="preserve">start in monitor/log-only mode to build an accurate allow-list from real business traffic, then enforce first on the highest-risk channels — direct-to-IP connections, uncategorized destinations, executable/script downloads — before extending further.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2"/>
          <w:szCs w:val="22"/>
        </w:rPr>
        <w:t xml:space="preserve">Keep a fast exception path: </w:t>
      </w:r>
      <w:r>
        <w:rPr>
          <w:sz w:val="22"/>
          <w:szCs w:val="22"/>
        </w:rPr>
        <w:t xml:space="preserve">a simple, quick-turnaround request process so a legitimate new business site can be added to the allow-list without blocking anyone's work.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2"/>
          <w:szCs w:val="22"/>
        </w:rPr>
        <w:t xml:space="preserve">Layer in complementary controls: </w:t>
      </w:r>
      <w:r>
        <w:rPr>
          <w:sz w:val="22"/>
          <w:szCs w:val="22"/>
        </w:rPr>
        <w:t xml:space="preserve">real-time threat-intelligence categories, newly-registered-domain (NRD) blocking, and DNS-layer (protective DNS) filtering — both as an extra check on allowed traffic and as interim coverage for any channel not yet under full allow-list enforcement.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2"/>
          <w:szCs w:val="22"/>
        </w:rPr>
        <w:t xml:space="preserve">Run a monthly review of blocked/allowed traffic and periodic testing against known-bad indicator feeds, to confirm coverage is actually working.</w:t>
      </w:r>
    </w:p>
    <w:p>
      <w:pPr>
        <w:spacing w:after="160" w:line="276"/>
      </w:pPr>
      <w:r>
        <w:rPr>
          <w:sz w:val="22"/>
          <w:szCs w:val="22"/>
        </w:rPr>
        <w:t xml:space="preserve">Suggested KPI: percentage of outbound traffic covered by the allow-list model, number of blocked attempts to unapproved destinations (including suspected reverse connections), and average time-to-block for newly identified malicious domains on any channel not yet under full enforcement — tracked monthly.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28"/>
          <w:szCs w:val="28"/>
        </w:rPr>
        <w:t xml:space="preserve">2. Unattended and Shared Workstations</w:t>
      </w:r>
    </w:p>
    <w:p>
      <w:pPr>
        <w:pStyle w:val="Heading2"/>
        <w:spacing w:after="100" w:before="240"/>
      </w:pPr>
      <w:r>
        <w:rPr>
          <w:b/>
          <w:bCs/>
          <w:color w:val="2E75B6"/>
          <w:sz w:val="24"/>
          <w:szCs w:val="24"/>
        </w:rPr>
        <w:t xml:space="preserve">The Problem</w:t>
      </w:r>
    </w:p>
    <w:p>
      <w:pPr>
        <w:spacing w:after="160" w:line="276"/>
      </w:pPr>
      <w:r>
        <w:rPr>
          <w:sz w:val="22"/>
          <w:szCs w:val="22"/>
        </w:rPr>
        <w:t xml:space="preserve">We have observed a recurring pattern: employees using a colleague's PC or login instead of their own, and staff stepping away from their desk — for breaks, meetings, or at end of day — without locking their workstation. Today there is no policy that addresses this directly, and no reporting mechanism to detect, measure, or track it.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2"/>
          <w:szCs w:val="22"/>
        </w:rPr>
        <w:t xml:space="preserve">An unlocked, unattended workstation can be accessed by anyone nearby — a colleague, a visitor, cleaning staff — to view confidential data, send messages as that user, reach internal systems, or plant malicious software, all attributed to the logged-in employee rather than the person who actually did it.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2"/>
          <w:szCs w:val="22"/>
        </w:rPr>
        <w:t xml:space="preserve">Using someone else's login breaks the audit trail entirely: if an incident, data leak, or policy violation occurs, it cannot be reliably traced to the person who actually performed the action — undermining accountability and any forensic investigation.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2"/>
          <w:szCs w:val="22"/>
        </w:rPr>
        <w:t xml:space="preserve">Because there is no policy or reporting today, this is invisible to management: we have no data on how widespread it is, no consequence for repeat behavior, and no way to show it improving over time.</w:t>
      </w:r>
    </w:p>
    <w:p>
      <w:pPr>
        <w:spacing w:after="160" w:line="276"/>
      </w:pPr>
      <w:r>
        <w:rPr>
          <w:sz w:val="22"/>
          <w:szCs w:val="22"/>
        </w:rPr>
        <w:t xml:space="preserve">This also creates compliance exposure: frameworks such as ISO 27001, PCI DSS, and SOC 2 explicitly expect session-lock controls and unique user accountability. Without them, we have a harder time demonstrating due diligence to auditors, customers, or regulators.</w:t>
      </w:r>
    </w:p>
    <w:p>
      <w:pPr>
        <w:pStyle w:val="Heading2"/>
        <w:spacing w:after="100" w:before="240"/>
      </w:pPr>
      <w:r>
        <w:rPr>
          <w:b/>
          <w:bCs/>
          <w:color w:val="2E75B6"/>
          <w:sz w:val="24"/>
          <w:szCs w:val="24"/>
        </w:rPr>
        <w:t xml:space="preserve">The Solution</w:t>
      </w:r>
    </w:p>
    <w:p>
      <w:pPr>
        <w:spacing w:after="160" w:line="276"/>
      </w:pPr>
      <w:r>
        <w:rPr>
          <w:sz w:val="22"/>
          <w:szCs w:val="22"/>
        </w:rPr>
        <w:t xml:space="preserve">This needs a policy, backed by technical enforcement, backed by measurement — policy alone will not change behavior on its own: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2"/>
          <w:szCs w:val="22"/>
        </w:rPr>
        <w:t xml:space="preserve">Policy: </w:t>
      </w:r>
      <w:r>
        <w:rPr>
          <w:sz w:val="22"/>
          <w:szCs w:val="22"/>
        </w:rPr>
        <w:t xml:space="preserve">publish a Clear Desk &amp; Screen Lock policy and an Acceptable Use addendum that explicitly prohibits sharing logins or workstations, with defined consequences for repeat violations.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2"/>
          <w:szCs w:val="22"/>
        </w:rPr>
        <w:t xml:space="preserve">Technical controls: </w:t>
      </w:r>
      <w:r>
        <w:rPr>
          <w:sz w:val="22"/>
          <w:szCs w:val="22"/>
        </w:rPr>
        <w:t xml:space="preserve">enforce automatic screen lock after a short idle period (e.g. 5 minutes) organization-wide via Group Policy/MDM; enforce unique individual logins with no shared local accounts; where feasible, require badge tap or Windows Hello to unlock.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2"/>
          <w:szCs w:val="22"/>
        </w:rPr>
        <w:t xml:space="preserve">Reporting mechanism: </w:t>
      </w:r>
      <w:r>
        <w:rPr>
          <w:sz w:val="22"/>
          <w:szCs w:val="22"/>
        </w:rPr>
        <w:t xml:space="preserve">generate a recurring (weekly or monthly) report from endpoint/AD logs showing workstations left unlocked beyond the policy threshold and logon patterns suggesting shared-account use, broken out by department, and route it to department managers — not just IT — so accountability sits with the business.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2"/>
          <w:szCs w:val="22"/>
        </w:rPr>
        <w:t xml:space="preserve">KPI integration: </w:t>
      </w:r>
      <w:r>
        <w:rPr>
          <w:sz w:val="22"/>
          <w:szCs w:val="22"/>
        </w:rPr>
        <w:t xml:space="preserve">add screen-lock compliance and shared-account incidents as a tracked metric in department/team scorecards, reviewed alongside existing KPIs, with a target of month-over-month reduction and a published trend so improvement is visible and reinforced.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2"/>
          <w:szCs w:val="22"/>
        </w:rPr>
        <w:t xml:space="preserve">Reinforcement: </w:t>
      </w:r>
      <w:r>
        <w:rPr>
          <w:sz w:val="22"/>
          <w:szCs w:val="22"/>
        </w:rPr>
        <w:t xml:space="preserve">pair the rollout with a short security-awareness reminder and a few informal spot checks in the first weeks to build the habit.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28"/>
          <w:szCs w:val="28"/>
        </w:rPr>
        <w:t xml:space="preserve">Summary of Recommendations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500"/>
        <w:gridCol w:w="3600"/>
        <w:gridCol w:w="1300"/>
        <w:gridCol w:w="1580"/>
      </w:tblGrid>
      <w:tr>
        <w:trPr>
          <w:tblHeader/>
        </w:trPr>
        <w:tc>
          <w:tcPr>
            <w:tcW w:type="dxa" w:w="520"/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500"/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3600"/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1300"/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1580"/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52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Web filtering allows all traffic by default; unknown destinations — including malware reverse connections — are not blocked.</w:t>
            </w:r>
          </w:p>
        </w:tc>
        <w:tc>
          <w:tcPr>
            <w:tcW w:type="dxa" w:w="36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Move outbound traffic to a default-deny (allow-list) model, phased in by risk channel; layer in real-time threat-intel, NRD blocking, and DNS filtering.</w:t>
            </w:r>
          </w:p>
        </w:tc>
        <w:tc>
          <w:tcPr>
            <w:tcW w:type="dxa" w:w="13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High</w:t>
            </w:r>
          </w:p>
        </w:tc>
        <w:tc>
          <w:tcPr>
            <w:tcW w:type="dxa" w:w="158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IT Security / Network Team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policy or reporting for unlocked/shared workstations; no accountability.</w:t>
            </w:r>
          </w:p>
        </w:tc>
        <w:tc>
          <w:tcPr>
            <w:tcW w:type="dxa" w:w="3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Enforce auto-lock and unique logins; build a violation report; add compliance to department KPIs.</w:t>
            </w:r>
          </w:p>
        </w:tc>
        <w:tc>
          <w:tcPr>
            <w:tcW w:type="dxa" w:w="13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High</w:t>
            </w:r>
          </w:p>
        </w:tc>
        <w:tc>
          <w:tcPr>
            <w:tcW w:type="dxa" w:w="158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IT Security + HR / Dept. Managers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28"/>
          <w:szCs w:val="28"/>
        </w:rPr>
        <w:t xml:space="preserve">Next Steps</w:t>
      </w:r>
    </w:p>
    <w:p>
      <w:pPr>
        <w:spacing w:after="160" w:line="276"/>
      </w:pPr>
      <w:r>
        <w:rPr>
          <w:sz w:val="22"/>
          <w:szCs w:val="22"/>
        </w:rPr>
        <w:t xml:space="preserve">Both recommendations are low-cost relative to the risk they remove, and both turn an invisible, reactive risk into something we can measure and manage. I'm asking management to approve two things: moving outbound web traffic to a default-deny (allow-list) model, phased in by risk channel so it doesn't disrupt the business, and signing off on the screen-lock / shared-account policy along with its inclusion in departmental KPIs so IT and HR can begin rollout and reporting next cycle.</w:t>
      </w:r>
    </w:p>
    <w:p>
      <w:pPr>
        <w:spacing w:after="160" w:line="276"/>
      </w:pPr>
      <w:r>
        <w:rPr>
          <w:sz w:val="22"/>
          <w:szCs w:val="22"/>
        </w:rPr>
        <w:t xml:space="preserve">I'm happy to walk through implementation timelines, tooling changes, and any cost estimates in more detail.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Security Policy Recommendations — Internal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2026-07-20T08:33:33.918Z</dcterms:created>
  <dcterms:modified xsi:type="dcterms:W3CDTF">2026-07-20T08:33:33.931Z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