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1B919" w14:textId="7B7A99E2" w:rsidR="001235CD" w:rsidRPr="004E11C5" w:rsidRDefault="00CC2032">
      <w:pPr>
        <w:rPr>
          <w:rFonts w:ascii="Calibri" w:hAnsi="Calibri"/>
        </w:rPr>
      </w:pPr>
      <w:r>
        <w:rPr>
          <w:noProof/>
          <w:lang w:val="en-US" w:eastAsia="en-US"/>
        </w:rPr>
        <mc:AlternateContent>
          <mc:Choice Requires="wps">
            <w:drawing>
              <wp:anchor distT="45720" distB="45720" distL="114300" distR="114300" simplePos="0" relativeHeight="251659776" behindDoc="0" locked="0" layoutInCell="1" allowOverlap="1" wp14:anchorId="29FB8413" wp14:editId="3095BCD9">
                <wp:simplePos x="0" y="0"/>
                <wp:positionH relativeFrom="column">
                  <wp:posOffset>1348740</wp:posOffset>
                </wp:positionH>
                <wp:positionV relativeFrom="paragraph">
                  <wp:posOffset>516890</wp:posOffset>
                </wp:positionV>
                <wp:extent cx="3909060" cy="948690"/>
                <wp:effectExtent l="0" t="2540" r="0" b="12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1CB57" w14:textId="77777777" w:rsidR="00A765E3" w:rsidRPr="004E11C5" w:rsidRDefault="00A765E3" w:rsidP="00A765E3">
                            <w:pPr>
                              <w:rPr>
                                <w:rFonts w:ascii="Calibri" w:hAnsi="Calibri"/>
                                <w:b/>
                                <w:sz w:val="36"/>
                                <w:szCs w:val="36"/>
                              </w:rPr>
                            </w:pPr>
                            <w:r w:rsidRPr="004E11C5">
                              <w:rPr>
                                <w:rFonts w:ascii="Calibri" w:hAnsi="Calibri"/>
                                <w:b/>
                                <w:sz w:val="36"/>
                                <w:szCs w:val="36"/>
                              </w:rPr>
                              <w:t>Group Coursework Submission Form</w:t>
                            </w:r>
                          </w:p>
                          <w:p w14:paraId="2BA29050" w14:textId="77777777" w:rsidR="00A765E3" w:rsidRPr="004E11C5" w:rsidRDefault="00A765E3" w:rsidP="00A765E3">
                            <w:pPr>
                              <w:jc w:val="center"/>
                              <w:rPr>
                                <w:rFonts w:ascii="Calibri" w:hAnsi="Calibri"/>
                                <w:sz w:val="16"/>
                                <w:szCs w:val="16"/>
                              </w:rPr>
                            </w:pPr>
                          </w:p>
                          <w:p w14:paraId="16872063"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58F228D7" w14:textId="77777777" w:rsidR="00A765E3" w:rsidRDefault="00A765E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9FB8413" id="_x0000_t202" coordsize="21600,21600" o:spt="202" path="m,l,21600r21600,l21600,xe">
                <v:stroke joinstyle="miter"/>
                <v:path gradientshapeok="t" o:connecttype="rect"/>
              </v:shapetype>
              <v:shape id="Text Box 2" o:spid="_x0000_s1026" type="#_x0000_t202" style="position:absolute;margin-left:106.2pt;margin-top:40.7pt;width:307.8pt;height:74.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" stroked="f">
                <v:textbox style="mso-fit-shape-to-text:t">
                  <w:txbxContent>
                    <w:p w14:paraId="3EC1CB57" w14:textId="77777777" w:rsidR="00A765E3" w:rsidRPr="004E11C5" w:rsidRDefault="00A765E3" w:rsidP="00A765E3">
                      <w:pPr>
                        <w:rPr>
                          <w:rFonts w:ascii="Calibri" w:hAnsi="Calibri"/>
                          <w:b/>
                          <w:sz w:val="36"/>
                          <w:szCs w:val="36"/>
                        </w:rPr>
                      </w:pPr>
                      <w:r w:rsidRPr="004E11C5">
                        <w:rPr>
                          <w:rFonts w:ascii="Calibri" w:hAnsi="Calibri"/>
                          <w:b/>
                          <w:sz w:val="36"/>
                          <w:szCs w:val="36"/>
                        </w:rPr>
                        <w:t>Group Coursework Submission Form</w:t>
                      </w:r>
                    </w:p>
                    <w:p w14:paraId="2BA29050" w14:textId="77777777" w:rsidR="00A765E3" w:rsidRPr="004E11C5" w:rsidRDefault="00A765E3" w:rsidP="00A765E3">
                      <w:pPr>
                        <w:jc w:val="center"/>
                        <w:rPr>
                          <w:rFonts w:ascii="Calibri" w:hAnsi="Calibri"/>
                          <w:sz w:val="16"/>
                          <w:szCs w:val="16"/>
                        </w:rPr>
                      </w:pPr>
                    </w:p>
                    <w:p w14:paraId="16872063"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58F228D7" w14:textId="77777777" w:rsidR="00A765E3" w:rsidRDefault="00A765E3"/>
                  </w:txbxContent>
                </v:textbox>
                <w10:wrap type="square"/>
              </v:shape>
            </w:pict>
          </mc:Fallback>
        </mc:AlternateContent>
      </w:r>
      <w:r w:rsidR="00A765E3">
        <w:rPr>
          <w:rFonts w:ascii="Calibri" w:hAnsi="Calibri"/>
          <w:noProof/>
          <w:lang w:val="en-US" w:eastAsia="en-US"/>
        </w:rPr>
        <w:drawing>
          <wp:inline distT="0" distB="0" distL="0" distR="0" wp14:anchorId="3106A89E" wp14:editId="677F7576">
            <wp:extent cx="1124585" cy="1420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s UoL logo RGB JA1a.jpg"/>
                    <pic:cNvPicPr/>
                  </pic:nvPicPr>
                  <pic:blipFill rotWithShape="1">
                    <a:blip r:embed="rId7" cstate="print">
                      <a:extLst>
                        <a:ext uri="{28A0092B-C50C-407E-A947-70E740481C1C}">
                          <a14:useLocalDpi xmlns:a14="http://schemas.microsoft.com/office/drawing/2010/main" val="0"/>
                        </a:ext>
                      </a:extLst>
                    </a:blip>
                    <a:srcRect t="3867"/>
                    <a:stretch/>
                  </pic:blipFill>
                  <pic:spPr bwMode="auto">
                    <a:xfrm>
                      <a:off x="0" y="0"/>
                      <a:ext cx="1124712" cy="1421123"/>
                    </a:xfrm>
                    <a:prstGeom prst="rect">
                      <a:avLst/>
                    </a:prstGeom>
                    <a:ln>
                      <a:noFill/>
                    </a:ln>
                    <a:extLst>
                      <a:ext uri="{53640926-AAD7-44D8-BBD7-CCE9431645EC}">
                        <a14:shadowObscured xmlns:a14="http://schemas.microsoft.com/office/drawing/2010/main"/>
                      </a:ext>
                    </a:extLst>
                  </pic:spPr>
                </pic:pic>
              </a:graphicData>
            </a:graphic>
          </wp:inline>
        </w:drawing>
      </w:r>
    </w:p>
    <w:p w14:paraId="2276F38A"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4"/>
        <w:gridCol w:w="1064"/>
        <w:gridCol w:w="3894"/>
      </w:tblGrid>
      <w:tr w:rsidR="000364C6" w:rsidRPr="00340909" w14:paraId="363BF023" w14:textId="77777777" w:rsidTr="00340909">
        <w:trPr>
          <w:trHeight w:val="175"/>
        </w:trPr>
        <w:tc>
          <w:tcPr>
            <w:tcW w:w="5004" w:type="dxa"/>
          </w:tcPr>
          <w:p w14:paraId="4869A77C" w14:textId="77777777" w:rsidR="000364C6" w:rsidRPr="00340909" w:rsidRDefault="000364C6" w:rsidP="00836707">
            <w:pPr>
              <w:rPr>
                <w:rFonts w:ascii="Calibri" w:hAnsi="Calibri"/>
              </w:rPr>
            </w:pPr>
            <w:r w:rsidRPr="00340909">
              <w:rPr>
                <w:rFonts w:ascii="Calibri" w:hAnsi="Calibri"/>
                <w:b/>
              </w:rPr>
              <w:t>Please list all names of group members:</w:t>
            </w:r>
            <w:r w:rsidRPr="00340909">
              <w:rPr>
                <w:rFonts w:ascii="Calibri" w:hAnsi="Calibri"/>
              </w:rPr>
              <w:t xml:space="preserve"> </w:t>
            </w:r>
          </w:p>
          <w:p w14:paraId="184B1C49" w14:textId="77777777" w:rsidR="000364C6" w:rsidRPr="00340909" w:rsidRDefault="000364C6" w:rsidP="00836707">
            <w:pPr>
              <w:rPr>
                <w:rFonts w:ascii="Calibri" w:hAnsi="Calibri"/>
              </w:rPr>
            </w:pPr>
            <w:r w:rsidRPr="00340909">
              <w:rPr>
                <w:rFonts w:ascii="Calibri" w:hAnsi="Calibri"/>
              </w:rPr>
              <w:t>(Surname</w:t>
            </w:r>
            <w:r w:rsidR="00640675" w:rsidRPr="00340909">
              <w:rPr>
                <w:rFonts w:ascii="Calibri" w:hAnsi="Calibri"/>
              </w:rPr>
              <w:t xml:space="preserve">, first </w:t>
            </w:r>
            <w:r w:rsidRPr="00340909">
              <w:rPr>
                <w:rFonts w:ascii="Calibri" w:hAnsi="Calibri"/>
              </w:rPr>
              <w:t>name)</w:t>
            </w:r>
          </w:p>
          <w:p w14:paraId="1488E700" w14:textId="6E2EDCC4" w:rsidR="000364C6" w:rsidRPr="00340909" w:rsidRDefault="000364C6">
            <w:pPr>
              <w:rPr>
                <w:rFonts w:ascii="Calibri" w:hAnsi="Calibri"/>
              </w:rPr>
            </w:pPr>
            <w:r w:rsidRPr="00340909">
              <w:rPr>
                <w:rFonts w:ascii="Calibri" w:hAnsi="Calibri"/>
              </w:rPr>
              <w:t>1.</w:t>
            </w:r>
            <w:r w:rsidR="006E7B0A">
              <w:rPr>
                <w:rFonts w:ascii="Segoe UI" w:hAnsi="Segoe UI" w:cs="Segoe UI"/>
                <w:color w:val="3C3C3C"/>
                <w:spacing w:val="2"/>
                <w:sz w:val="23"/>
                <w:szCs w:val="23"/>
                <w:shd w:val="clear" w:color="auto" w:fill="FFFFFF"/>
              </w:rPr>
              <w:t xml:space="preserve"> </w:t>
            </w:r>
            <w:r w:rsidR="006E7B0A">
              <w:rPr>
                <w:rFonts w:ascii="Segoe UI" w:hAnsi="Segoe UI" w:cs="Segoe UI"/>
                <w:color w:val="3C3C3C"/>
                <w:spacing w:val="2"/>
                <w:sz w:val="23"/>
                <w:szCs w:val="23"/>
                <w:shd w:val="clear" w:color="auto" w:fill="FFFFFF"/>
              </w:rPr>
              <w:t>Farrakhov, Bulat</w:t>
            </w:r>
          </w:p>
          <w:p w14:paraId="6312B39B" w14:textId="02A40158" w:rsidR="000364C6" w:rsidRPr="00340909" w:rsidRDefault="000364C6">
            <w:pPr>
              <w:rPr>
                <w:rFonts w:ascii="Calibri" w:hAnsi="Calibri"/>
              </w:rPr>
            </w:pPr>
            <w:r w:rsidRPr="00340909">
              <w:rPr>
                <w:rFonts w:ascii="Calibri" w:hAnsi="Calibri"/>
              </w:rPr>
              <w:t>2.</w:t>
            </w:r>
            <w:r w:rsidR="006E7B0A">
              <w:rPr>
                <w:rFonts w:ascii="Segoe UI" w:hAnsi="Segoe UI" w:cs="Segoe UI"/>
                <w:color w:val="3C3C3C"/>
                <w:spacing w:val="2"/>
                <w:sz w:val="23"/>
                <w:szCs w:val="23"/>
                <w:shd w:val="clear" w:color="auto" w:fill="FFFFFF"/>
              </w:rPr>
              <w:t xml:space="preserve"> </w:t>
            </w:r>
            <w:r w:rsidR="006E7B0A">
              <w:rPr>
                <w:rFonts w:ascii="Segoe UI" w:hAnsi="Segoe UI" w:cs="Segoe UI"/>
                <w:color w:val="3C3C3C"/>
                <w:spacing w:val="2"/>
                <w:sz w:val="23"/>
                <w:szCs w:val="23"/>
                <w:shd w:val="clear" w:color="auto" w:fill="FFFFFF"/>
              </w:rPr>
              <w:t>Gan, Haozhi</w:t>
            </w:r>
          </w:p>
          <w:p w14:paraId="5F811B85" w14:textId="37B9BC90" w:rsidR="000364C6" w:rsidRPr="00340909" w:rsidRDefault="00640675">
            <w:pPr>
              <w:rPr>
                <w:rFonts w:ascii="Calibri" w:hAnsi="Calibri"/>
              </w:rPr>
            </w:pPr>
            <w:r w:rsidRPr="00340909">
              <w:rPr>
                <w:rFonts w:ascii="Calibri" w:hAnsi="Calibri"/>
              </w:rPr>
              <w:t>3.</w:t>
            </w:r>
            <w:r w:rsidR="006E7B0A">
              <w:rPr>
                <w:rFonts w:ascii="Segoe UI" w:hAnsi="Segoe UI" w:cs="Segoe UI"/>
                <w:color w:val="3C3C3C"/>
                <w:spacing w:val="2"/>
                <w:sz w:val="23"/>
                <w:szCs w:val="23"/>
                <w:shd w:val="clear" w:color="auto" w:fill="FFFFFF"/>
              </w:rPr>
              <w:t xml:space="preserve"> </w:t>
            </w:r>
            <w:r w:rsidR="006E7B0A">
              <w:rPr>
                <w:rFonts w:ascii="Segoe UI" w:hAnsi="Segoe UI" w:cs="Segoe UI"/>
                <w:color w:val="3C3C3C"/>
                <w:spacing w:val="2"/>
                <w:sz w:val="23"/>
                <w:szCs w:val="23"/>
                <w:shd w:val="clear" w:color="auto" w:fill="FFFFFF"/>
              </w:rPr>
              <w:t>Hamade, Ramez</w:t>
            </w:r>
          </w:p>
        </w:tc>
        <w:tc>
          <w:tcPr>
            <w:tcW w:w="5004" w:type="dxa"/>
            <w:gridSpan w:val="2"/>
          </w:tcPr>
          <w:p w14:paraId="7709B1D4" w14:textId="3D57072E" w:rsidR="000364C6" w:rsidRPr="00340909" w:rsidRDefault="000364C6">
            <w:pPr>
              <w:rPr>
                <w:rFonts w:ascii="Calibri" w:hAnsi="Calibri"/>
              </w:rPr>
            </w:pPr>
            <w:r w:rsidRPr="00340909">
              <w:rPr>
                <w:rFonts w:ascii="Calibri" w:hAnsi="Calibri"/>
              </w:rPr>
              <w:t>4.</w:t>
            </w:r>
            <w:r w:rsidR="006E7B0A">
              <w:rPr>
                <w:rFonts w:ascii="Segoe UI" w:hAnsi="Segoe UI" w:cs="Segoe UI"/>
                <w:color w:val="3C3C3C"/>
                <w:spacing w:val="2"/>
                <w:sz w:val="23"/>
                <w:szCs w:val="23"/>
                <w:shd w:val="clear" w:color="auto" w:fill="FFFFFF"/>
              </w:rPr>
              <w:t xml:space="preserve"> </w:t>
            </w:r>
            <w:r w:rsidR="006E7B0A">
              <w:rPr>
                <w:rFonts w:ascii="Segoe UI" w:hAnsi="Segoe UI" w:cs="Segoe UI"/>
                <w:color w:val="3C3C3C"/>
                <w:spacing w:val="2"/>
                <w:sz w:val="23"/>
                <w:szCs w:val="23"/>
                <w:shd w:val="clear" w:color="auto" w:fill="FFFFFF"/>
              </w:rPr>
              <w:t>Kalochoritou, Phoebe</w:t>
            </w:r>
          </w:p>
          <w:p w14:paraId="49F7FD2A" w14:textId="54527125" w:rsidR="000364C6" w:rsidRPr="00340909" w:rsidRDefault="000364C6">
            <w:pPr>
              <w:rPr>
                <w:rFonts w:ascii="Calibri" w:hAnsi="Calibri"/>
              </w:rPr>
            </w:pPr>
            <w:r w:rsidRPr="00340909">
              <w:rPr>
                <w:rFonts w:ascii="Calibri" w:hAnsi="Calibri"/>
              </w:rPr>
              <w:t>5.</w:t>
            </w:r>
            <w:r w:rsidR="006E7B0A">
              <w:rPr>
                <w:rFonts w:ascii="Segoe UI" w:hAnsi="Segoe UI" w:cs="Segoe UI"/>
                <w:color w:val="3C3C3C"/>
                <w:spacing w:val="2"/>
                <w:sz w:val="23"/>
                <w:szCs w:val="23"/>
                <w:shd w:val="clear" w:color="auto" w:fill="FFFFFF"/>
              </w:rPr>
              <w:t xml:space="preserve"> </w:t>
            </w:r>
            <w:r w:rsidR="006E7B0A">
              <w:rPr>
                <w:rFonts w:ascii="Segoe UI" w:hAnsi="Segoe UI" w:cs="Segoe UI"/>
                <w:color w:val="3C3C3C"/>
                <w:spacing w:val="2"/>
                <w:sz w:val="23"/>
                <w:szCs w:val="23"/>
                <w:shd w:val="clear" w:color="auto" w:fill="FFFFFF"/>
              </w:rPr>
              <w:t>Karwa, Radhika</w:t>
            </w:r>
          </w:p>
          <w:p w14:paraId="3391B74F" w14:textId="5C594A9B" w:rsidR="007D396E" w:rsidRPr="00340909" w:rsidRDefault="00CC2032">
            <w:pPr>
              <w:rPr>
                <w:rFonts w:ascii="Calibri" w:hAnsi="Calibri"/>
              </w:rPr>
            </w:pPr>
            <w:r>
              <w:rPr>
                <w:rFonts w:ascii="Calibri" w:hAnsi="Calibri"/>
                <w:noProof/>
                <w:lang w:val="en-US" w:eastAsia="en-US"/>
              </w:rPr>
              <mc:AlternateContent>
                <mc:Choice Requires="wps">
                  <w:drawing>
                    <wp:anchor distT="0" distB="0" distL="114300" distR="114300" simplePos="0" relativeHeight="251658752" behindDoc="0" locked="0" layoutInCell="1" allowOverlap="1" wp14:anchorId="1FCA1553" wp14:editId="6B7316CB">
                      <wp:simplePos x="0" y="0"/>
                      <wp:positionH relativeFrom="column">
                        <wp:posOffset>1983105</wp:posOffset>
                      </wp:positionH>
                      <wp:positionV relativeFrom="paragraph">
                        <wp:posOffset>127635</wp:posOffset>
                      </wp:positionV>
                      <wp:extent cx="1066800" cy="381000"/>
                      <wp:effectExtent l="9525" t="5080" r="9525" b="1397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81000"/>
                              </a:xfrm>
                              <a:prstGeom prst="rect">
                                <a:avLst/>
                              </a:prstGeom>
                              <a:solidFill>
                                <a:srgbClr val="FFFFFF"/>
                              </a:solidFill>
                              <a:ln w="9525">
                                <a:solidFill>
                                  <a:srgbClr val="000000"/>
                                </a:solidFill>
                                <a:miter lim="800000"/>
                                <a:headEnd/>
                                <a:tailEnd/>
                              </a:ln>
                            </wps:spPr>
                            <wps:txbx>
                              <w:txbxContent>
                                <w:p w14:paraId="22AB3479" w14:textId="133122F3" w:rsidR="00512E38" w:rsidRPr="006E7B0A" w:rsidRDefault="006E7B0A" w:rsidP="00512E38">
                                  <w:pPr>
                                    <w:jc w:val="center"/>
                                    <w:rPr>
                                      <w:rFonts w:ascii="Arial" w:hAnsi="Arial" w:cs="Arial"/>
                                      <w:b/>
                                      <w:sz w:val="36"/>
                                      <w:szCs w:val="36"/>
                                      <w:lang w:val="en-US"/>
                                    </w:rPr>
                                  </w:pPr>
                                  <w:r>
                                    <w:rPr>
                                      <w:rFonts w:ascii="Arial" w:hAnsi="Arial" w:cs="Arial"/>
                                      <w:b/>
                                      <w:sz w:val="36"/>
                                      <w:szCs w:val="36"/>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A1553" id="Text Box 6" o:spid="_x0000_s1027" type="#_x0000_t202" style="position:absolute;margin-left:156.15pt;margin-top:10.05pt;width:84pt;height:3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">
                      <v:textbox>
                        <w:txbxContent>
                          <w:p w14:paraId="22AB3479" w14:textId="133122F3" w:rsidR="00512E38" w:rsidRPr="006E7B0A" w:rsidRDefault="006E7B0A" w:rsidP="00512E38">
                            <w:pPr>
                              <w:jc w:val="center"/>
                              <w:rPr>
                                <w:rFonts w:ascii="Arial" w:hAnsi="Arial" w:cs="Arial"/>
                                <w:b/>
                                <w:sz w:val="36"/>
                                <w:szCs w:val="36"/>
                                <w:lang w:val="en-US"/>
                              </w:rPr>
                            </w:pPr>
                            <w:r>
                              <w:rPr>
                                <w:rFonts w:ascii="Arial" w:hAnsi="Arial" w:cs="Arial"/>
                                <w:b/>
                                <w:sz w:val="36"/>
                                <w:szCs w:val="36"/>
                                <w:lang w:val="en-US"/>
                              </w:rPr>
                              <w:t>5</w:t>
                            </w:r>
                          </w:p>
                        </w:txbxContent>
                      </v:textbox>
                    </v:shape>
                  </w:pict>
                </mc:Fallback>
              </mc:AlternateContent>
            </w:r>
            <w:r w:rsidR="000364C6" w:rsidRPr="00340909">
              <w:rPr>
                <w:rFonts w:ascii="Calibri" w:hAnsi="Calibri"/>
              </w:rPr>
              <w:t>6.</w:t>
            </w:r>
            <w:r w:rsidR="006E7B0A">
              <w:rPr>
                <w:rFonts w:ascii="Segoe UI" w:hAnsi="Segoe UI" w:cs="Segoe UI"/>
                <w:color w:val="3C3C3C"/>
                <w:spacing w:val="2"/>
                <w:sz w:val="23"/>
                <w:szCs w:val="23"/>
                <w:shd w:val="clear" w:color="auto" w:fill="FFFFFF"/>
              </w:rPr>
              <w:t xml:space="preserve"> </w:t>
            </w:r>
            <w:r w:rsidR="006E7B0A">
              <w:rPr>
                <w:rFonts w:ascii="Segoe UI" w:hAnsi="Segoe UI" w:cs="Segoe UI"/>
                <w:color w:val="3C3C3C"/>
                <w:spacing w:val="2"/>
                <w:sz w:val="23"/>
                <w:szCs w:val="23"/>
                <w:shd w:val="clear" w:color="auto" w:fill="FFFFFF"/>
              </w:rPr>
              <w:t>Phan, William</w:t>
            </w:r>
          </w:p>
          <w:p w14:paraId="7832217F" w14:textId="0E0510BB" w:rsidR="00640675" w:rsidRPr="00340909" w:rsidRDefault="00512E38">
            <w:pPr>
              <w:rPr>
                <w:rFonts w:ascii="Calibri" w:hAnsi="Calibri"/>
                <w:b/>
              </w:rPr>
            </w:pPr>
            <w:r>
              <w:rPr>
                <w:rFonts w:ascii="Calibri" w:hAnsi="Calibri"/>
                <w:b/>
              </w:rPr>
              <w:t xml:space="preserve">                  </w:t>
            </w:r>
            <w:r w:rsidR="006E7B0A">
              <w:rPr>
                <w:rFonts w:ascii="Calibri" w:hAnsi="Calibri"/>
                <w:b/>
              </w:rPr>
              <w:t xml:space="preserve">   </w:t>
            </w:r>
            <w:r>
              <w:rPr>
                <w:rFonts w:ascii="Calibri" w:hAnsi="Calibri"/>
                <w:b/>
              </w:rPr>
              <w:t xml:space="preserve"> </w:t>
            </w:r>
            <w:r w:rsidR="00640675" w:rsidRPr="00340909">
              <w:rPr>
                <w:rFonts w:ascii="Calibri" w:hAnsi="Calibri"/>
                <w:b/>
              </w:rPr>
              <w:t>GROUP NUMBER:</w:t>
            </w:r>
          </w:p>
        </w:tc>
      </w:tr>
      <w:tr w:rsidR="00836707" w:rsidRPr="00340909" w14:paraId="1EDDA4EB" w14:textId="77777777" w:rsidTr="00340909">
        <w:tc>
          <w:tcPr>
            <w:tcW w:w="10008" w:type="dxa"/>
            <w:gridSpan w:val="3"/>
          </w:tcPr>
          <w:p w14:paraId="347830E1" w14:textId="77777777" w:rsidR="00836707" w:rsidRPr="00340909" w:rsidRDefault="00836707">
            <w:pPr>
              <w:rPr>
                <w:rFonts w:ascii="Calibri" w:hAnsi="Calibri"/>
                <w:b/>
              </w:rPr>
            </w:pPr>
            <w:r w:rsidRPr="00340909">
              <w:rPr>
                <w:rFonts w:ascii="Calibri" w:hAnsi="Calibri"/>
                <w:b/>
              </w:rPr>
              <w:t>MSc in:</w:t>
            </w:r>
            <w:r w:rsidR="00BB03BE" w:rsidRPr="00340909">
              <w:rPr>
                <w:rFonts w:ascii="Calibri" w:hAnsi="Calibri"/>
                <w:b/>
              </w:rPr>
              <w:t xml:space="preserve"> </w:t>
            </w:r>
          </w:p>
          <w:p w14:paraId="01F7EA21" w14:textId="0B3D9964" w:rsidR="00836707" w:rsidRPr="00340909" w:rsidRDefault="006E7B0A">
            <w:pPr>
              <w:rPr>
                <w:rFonts w:ascii="Calibri" w:hAnsi="Calibri"/>
              </w:rPr>
            </w:pPr>
            <w:r>
              <w:rPr>
                <w:rFonts w:ascii="Calibri" w:hAnsi="Calibri"/>
              </w:rPr>
              <w:t>Business Analytics</w:t>
            </w:r>
          </w:p>
        </w:tc>
      </w:tr>
      <w:tr w:rsidR="00836707" w:rsidRPr="00340909" w14:paraId="49BB4A54" w14:textId="77777777" w:rsidTr="00340909">
        <w:tc>
          <w:tcPr>
            <w:tcW w:w="10008" w:type="dxa"/>
            <w:gridSpan w:val="3"/>
          </w:tcPr>
          <w:p w14:paraId="380C964D" w14:textId="5532507E" w:rsidR="00836707" w:rsidRDefault="00836707">
            <w:pPr>
              <w:rPr>
                <w:rFonts w:ascii="Calibri" w:hAnsi="Calibri"/>
                <w:b/>
              </w:rPr>
            </w:pPr>
            <w:r w:rsidRPr="00340909">
              <w:rPr>
                <w:rFonts w:ascii="Calibri" w:hAnsi="Calibri"/>
                <w:b/>
              </w:rPr>
              <w:t xml:space="preserve">Module </w:t>
            </w:r>
            <w:r w:rsidR="00512E38">
              <w:rPr>
                <w:rFonts w:ascii="Calibri" w:hAnsi="Calibri"/>
                <w:b/>
              </w:rPr>
              <w:t>Code</w:t>
            </w:r>
            <w:r w:rsidRPr="00340909">
              <w:rPr>
                <w:rFonts w:ascii="Calibri" w:hAnsi="Calibri"/>
                <w:b/>
              </w:rPr>
              <w:t>:</w:t>
            </w:r>
          </w:p>
          <w:p w14:paraId="0646D056" w14:textId="04C3B84F" w:rsidR="006E7B0A" w:rsidRPr="006E7B0A" w:rsidRDefault="006E7B0A">
            <w:pPr>
              <w:rPr>
                <w:rFonts w:ascii="Calibri" w:hAnsi="Calibri"/>
                <w:bCs/>
              </w:rPr>
            </w:pPr>
            <w:r>
              <w:rPr>
                <w:rFonts w:ascii="Calibri" w:hAnsi="Calibri"/>
                <w:bCs/>
              </w:rPr>
              <w:t>SMM 635</w:t>
            </w:r>
          </w:p>
          <w:p w14:paraId="55EEEB07" w14:textId="77777777" w:rsidR="00836707" w:rsidRPr="00340909" w:rsidRDefault="00836707">
            <w:pPr>
              <w:rPr>
                <w:rFonts w:ascii="Calibri" w:hAnsi="Calibri"/>
              </w:rPr>
            </w:pPr>
          </w:p>
        </w:tc>
      </w:tr>
      <w:tr w:rsidR="00836707" w:rsidRPr="00340909" w14:paraId="6DD9E80F" w14:textId="77777777" w:rsidTr="00340909">
        <w:tc>
          <w:tcPr>
            <w:tcW w:w="10008" w:type="dxa"/>
            <w:gridSpan w:val="3"/>
          </w:tcPr>
          <w:p w14:paraId="311F49BD" w14:textId="77777777" w:rsidR="00836707" w:rsidRPr="00340909" w:rsidRDefault="00512E38">
            <w:pPr>
              <w:rPr>
                <w:rFonts w:ascii="Calibri" w:hAnsi="Calibri"/>
                <w:b/>
              </w:rPr>
            </w:pPr>
            <w:r>
              <w:rPr>
                <w:rFonts w:ascii="Calibri" w:hAnsi="Calibri"/>
                <w:b/>
              </w:rPr>
              <w:t>Module Title</w:t>
            </w:r>
            <w:r w:rsidR="00836707" w:rsidRPr="00340909">
              <w:rPr>
                <w:rFonts w:ascii="Calibri" w:hAnsi="Calibri"/>
                <w:b/>
              </w:rPr>
              <w:t>:</w:t>
            </w:r>
          </w:p>
          <w:p w14:paraId="185CAD9B" w14:textId="77777777" w:rsidR="00836707" w:rsidRPr="00340909" w:rsidRDefault="00836707">
            <w:pPr>
              <w:rPr>
                <w:rFonts w:ascii="Calibri" w:hAnsi="Calibri"/>
              </w:rPr>
            </w:pPr>
          </w:p>
          <w:p w14:paraId="367CD3E6" w14:textId="45F5B57B" w:rsidR="00836707" w:rsidRPr="00340909" w:rsidRDefault="006E7B0A">
            <w:pPr>
              <w:rPr>
                <w:rFonts w:ascii="Calibri" w:hAnsi="Calibri"/>
              </w:rPr>
            </w:pPr>
            <w:r w:rsidRPr="006E7B0A">
              <w:rPr>
                <w:rFonts w:ascii="Calibri" w:hAnsi="Calibri"/>
              </w:rPr>
              <w:t>Data Visualisation</w:t>
            </w:r>
          </w:p>
        </w:tc>
      </w:tr>
      <w:tr w:rsidR="004358C1" w:rsidRPr="00340909" w14:paraId="146155B7" w14:textId="77777777" w:rsidTr="00340909">
        <w:tc>
          <w:tcPr>
            <w:tcW w:w="6082" w:type="dxa"/>
            <w:gridSpan w:val="2"/>
          </w:tcPr>
          <w:p w14:paraId="5BA8688E" w14:textId="77777777" w:rsidR="004358C1" w:rsidRPr="00340909" w:rsidRDefault="004358C1" w:rsidP="00836707">
            <w:pPr>
              <w:rPr>
                <w:rFonts w:ascii="Calibri" w:hAnsi="Calibri"/>
                <w:b/>
              </w:rPr>
            </w:pPr>
            <w:r w:rsidRPr="00340909">
              <w:rPr>
                <w:rFonts w:ascii="Calibri" w:hAnsi="Calibri"/>
                <w:b/>
              </w:rPr>
              <w:t>Lecturer:</w:t>
            </w:r>
          </w:p>
          <w:p w14:paraId="66BFF902" w14:textId="08F72514" w:rsidR="004358C1" w:rsidRPr="00340909" w:rsidRDefault="006E7B0A">
            <w:pPr>
              <w:rPr>
                <w:rFonts w:ascii="Calibri" w:hAnsi="Calibri"/>
              </w:rPr>
            </w:pPr>
            <w:r>
              <w:rPr>
                <w:rFonts w:ascii="Calibri" w:hAnsi="Calibri"/>
              </w:rPr>
              <w:t>Simone Santoni</w:t>
            </w:r>
          </w:p>
        </w:tc>
        <w:tc>
          <w:tcPr>
            <w:tcW w:w="3926" w:type="dxa"/>
          </w:tcPr>
          <w:p w14:paraId="7F01D7AE" w14:textId="77777777" w:rsidR="006E7B0A" w:rsidRDefault="004358C1">
            <w:pPr>
              <w:rPr>
                <w:rFonts w:ascii="Calibri" w:hAnsi="Calibri"/>
                <w:b/>
              </w:rPr>
            </w:pPr>
            <w:r w:rsidRPr="00340909">
              <w:rPr>
                <w:rFonts w:ascii="Calibri" w:hAnsi="Calibri"/>
                <w:b/>
              </w:rPr>
              <w:t>Submission Date:</w:t>
            </w:r>
          </w:p>
          <w:p w14:paraId="6DC0B15E" w14:textId="76077FCD" w:rsidR="006E7B0A" w:rsidRPr="006E7B0A" w:rsidRDefault="006E7B0A">
            <w:pPr>
              <w:rPr>
                <w:rFonts w:ascii="Calibri" w:hAnsi="Calibri"/>
                <w:bCs/>
              </w:rPr>
            </w:pPr>
            <w:r>
              <w:rPr>
                <w:rFonts w:ascii="Calibri" w:hAnsi="Calibri"/>
                <w:bCs/>
              </w:rPr>
              <w:t>11 Nov. 20</w:t>
            </w:r>
          </w:p>
        </w:tc>
      </w:tr>
      <w:tr w:rsidR="00836707" w:rsidRPr="00340909" w14:paraId="4802D438" w14:textId="77777777" w:rsidTr="00340909">
        <w:tc>
          <w:tcPr>
            <w:tcW w:w="10008" w:type="dxa"/>
            <w:gridSpan w:val="3"/>
          </w:tcPr>
          <w:p w14:paraId="75221CFA" w14:textId="77777777" w:rsidR="004358C1" w:rsidRPr="00340909" w:rsidRDefault="004358C1">
            <w:pPr>
              <w:rPr>
                <w:rFonts w:ascii="Calibri" w:hAnsi="Calibri"/>
                <w:b/>
              </w:rPr>
            </w:pPr>
            <w:r w:rsidRPr="00340909">
              <w:rPr>
                <w:rFonts w:ascii="Calibri" w:hAnsi="Calibri"/>
                <w:b/>
              </w:rPr>
              <w:t xml:space="preserve">Declaration: </w:t>
            </w:r>
          </w:p>
          <w:p w14:paraId="38BE984F" w14:textId="77777777" w:rsidR="000364C6" w:rsidRPr="00340909" w:rsidRDefault="000364C6" w:rsidP="000364C6">
            <w:pPr>
              <w:rPr>
                <w:rFonts w:ascii="Calibri" w:hAnsi="Calibri"/>
                <w:color w:val="000000"/>
                <w:sz w:val="16"/>
                <w:szCs w:val="16"/>
              </w:rPr>
            </w:pPr>
            <w:r w:rsidRPr="00340909">
              <w:rPr>
                <w:rFonts w:ascii="Calibri" w:hAnsi="Calibri"/>
                <w:color w:val="000000"/>
                <w:sz w:val="16"/>
                <w:szCs w:val="16"/>
              </w:rPr>
              <w:t xml:space="preserve">By submitting this work, </w:t>
            </w:r>
            <w:r w:rsidR="009E0314">
              <w:rPr>
                <w:rFonts w:ascii="Calibri" w:hAnsi="Calibri"/>
                <w:color w:val="000000"/>
                <w:sz w:val="16"/>
                <w:szCs w:val="16"/>
              </w:rPr>
              <w:t>we</w:t>
            </w:r>
            <w:r w:rsidRPr="00340909">
              <w:rPr>
                <w:rFonts w:ascii="Calibri" w:hAnsi="Calibri"/>
                <w:color w:val="000000"/>
                <w:sz w:val="16"/>
                <w:szCs w:val="16"/>
              </w:rPr>
              <w:t xml:space="preserve"> declare that this work is entirely </w:t>
            </w:r>
            <w:r w:rsidR="009E0314">
              <w:rPr>
                <w:rFonts w:ascii="Calibri" w:hAnsi="Calibri"/>
                <w:color w:val="000000"/>
                <w:sz w:val="16"/>
                <w:szCs w:val="16"/>
              </w:rPr>
              <w:t xml:space="preserve">our own </w:t>
            </w:r>
            <w:r w:rsidRPr="00340909">
              <w:rPr>
                <w:rFonts w:ascii="Calibri" w:hAnsi="Calibri"/>
                <w:color w:val="000000"/>
                <w:sz w:val="16"/>
                <w:szCs w:val="16"/>
              </w:rPr>
              <w:t xml:space="preserve">except those parts duly identified and referenced in my submission. It complies with any specified word limits and the requirements and regulations detailed in the coursework instructions and any other relevant programme and module documentation. In submitting this work </w:t>
            </w:r>
            <w:r w:rsidR="009E0314">
              <w:rPr>
                <w:rFonts w:ascii="Calibri" w:hAnsi="Calibri"/>
                <w:color w:val="000000"/>
                <w:sz w:val="16"/>
                <w:szCs w:val="16"/>
              </w:rPr>
              <w:t>we</w:t>
            </w:r>
            <w:r w:rsidRPr="00340909">
              <w:rPr>
                <w:rFonts w:ascii="Calibri" w:hAnsi="Calibri"/>
                <w:color w:val="000000"/>
                <w:sz w:val="16"/>
                <w:szCs w:val="16"/>
              </w:rPr>
              <w:t xml:space="preserve"> acknowledge that </w:t>
            </w:r>
            <w:r w:rsidR="009E0314">
              <w:rPr>
                <w:rFonts w:ascii="Calibri" w:hAnsi="Calibri"/>
                <w:color w:val="000000"/>
                <w:sz w:val="16"/>
                <w:szCs w:val="16"/>
              </w:rPr>
              <w:t>we</w:t>
            </w:r>
            <w:r w:rsidRPr="00340909">
              <w:rPr>
                <w:rFonts w:ascii="Calibri" w:hAnsi="Calibri"/>
                <w:color w:val="000000"/>
                <w:sz w:val="16"/>
                <w:szCs w:val="16"/>
              </w:rPr>
              <w:t xml:space="preserve"> have read and understood the regulations and code regarding academic misconduct, including that relating to plagiarism, as specified in the Programme Handbook. </w:t>
            </w:r>
            <w:r w:rsidR="009E0314">
              <w:rPr>
                <w:rFonts w:ascii="Calibri" w:hAnsi="Calibri"/>
                <w:color w:val="000000"/>
                <w:sz w:val="16"/>
                <w:szCs w:val="16"/>
              </w:rPr>
              <w:t>We</w:t>
            </w:r>
            <w:r w:rsidRPr="00340909">
              <w:rPr>
                <w:rFonts w:ascii="Calibri" w:hAnsi="Calibri"/>
                <w:color w:val="000000"/>
                <w:sz w:val="16"/>
                <w:szCs w:val="16"/>
              </w:rPr>
              <w:t xml:space="preserve"> also acknowledge that this work will be subject to a variety of checks for academic misconduct. </w:t>
            </w:r>
            <w:r w:rsidRPr="00340909">
              <w:rPr>
                <w:rFonts w:ascii="Calibri" w:hAnsi="Calibri"/>
                <w:color w:val="000000"/>
                <w:sz w:val="16"/>
                <w:szCs w:val="16"/>
              </w:rPr>
              <w:br/>
            </w:r>
          </w:p>
          <w:p w14:paraId="02E5E159" w14:textId="77777777" w:rsidR="00836707" w:rsidRPr="00340909" w:rsidRDefault="009E0314" w:rsidP="009E0314">
            <w:pPr>
              <w:rPr>
                <w:rFonts w:ascii="Calibri" w:hAnsi="Calibri"/>
              </w:rPr>
            </w:pPr>
            <w:r w:rsidRPr="009E0314">
              <w:rPr>
                <w:rFonts w:ascii="Calibri" w:hAnsi="Calibri"/>
                <w:color w:val="000000"/>
                <w:sz w:val="16"/>
                <w:szCs w:val="16"/>
              </w:rPr>
              <w:t xml:space="preserve">We acknowledge that </w:t>
            </w:r>
            <w:r>
              <w:rPr>
                <w:rFonts w:ascii="Calibri" w:hAnsi="Calibri"/>
                <w:color w:val="000000"/>
                <w:sz w:val="16"/>
                <w:szCs w:val="16"/>
              </w:rPr>
              <w:t xml:space="preserve">work submitted late without a granted extension will be subject to penalties, as outlined in the Programme Handbook. Penalties will </w:t>
            </w:r>
            <w:r w:rsidR="00D02E2C">
              <w:rPr>
                <w:rFonts w:ascii="Calibri" w:hAnsi="Calibri"/>
                <w:color w:val="000000"/>
                <w:sz w:val="16"/>
                <w:szCs w:val="16"/>
              </w:rPr>
              <w:t xml:space="preserve">be </w:t>
            </w:r>
            <w:r>
              <w:rPr>
                <w:rFonts w:ascii="Calibri" w:hAnsi="Calibri"/>
                <w:color w:val="000000"/>
                <w:sz w:val="16"/>
                <w:szCs w:val="16"/>
              </w:rPr>
              <w:t>applied for a maximum of five days lateness, after which a mark of zero will be awarded</w:t>
            </w:r>
            <w:r w:rsidRPr="009E0314">
              <w:rPr>
                <w:rFonts w:ascii="Calibri" w:hAnsi="Calibri"/>
                <w:color w:val="000000"/>
                <w:sz w:val="16"/>
                <w:szCs w:val="16"/>
              </w:rPr>
              <w:t>.</w:t>
            </w:r>
          </w:p>
        </w:tc>
      </w:tr>
      <w:tr w:rsidR="004358C1" w:rsidRPr="00340909" w14:paraId="5677867B" w14:textId="77777777" w:rsidTr="00340909">
        <w:tc>
          <w:tcPr>
            <w:tcW w:w="10008" w:type="dxa"/>
            <w:gridSpan w:val="3"/>
          </w:tcPr>
          <w:p w14:paraId="2F944DBA" w14:textId="77777777" w:rsidR="004358C1" w:rsidRPr="00340909" w:rsidRDefault="004358C1">
            <w:pPr>
              <w:rPr>
                <w:rFonts w:ascii="Calibri" w:hAnsi="Calibri"/>
                <w:b/>
              </w:rPr>
            </w:pPr>
            <w:r w:rsidRPr="00340909">
              <w:rPr>
                <w:rFonts w:ascii="Calibri" w:hAnsi="Calibri"/>
                <w:b/>
              </w:rPr>
              <w:t>Marker’s Comments</w:t>
            </w:r>
            <w:r w:rsidR="00DE5B5F">
              <w:rPr>
                <w:rFonts w:ascii="Calibri" w:hAnsi="Calibri"/>
                <w:b/>
              </w:rPr>
              <w:t xml:space="preserve"> (if not being marked on-line)</w:t>
            </w:r>
            <w:r w:rsidRPr="00340909">
              <w:rPr>
                <w:rFonts w:ascii="Calibri" w:hAnsi="Calibri"/>
                <w:b/>
              </w:rPr>
              <w:t>:</w:t>
            </w:r>
          </w:p>
          <w:p w14:paraId="677699D5" w14:textId="77777777" w:rsidR="004358C1" w:rsidRPr="00340909" w:rsidRDefault="004358C1">
            <w:pPr>
              <w:rPr>
                <w:rFonts w:ascii="Calibri" w:hAnsi="Calibri"/>
              </w:rPr>
            </w:pPr>
          </w:p>
          <w:p w14:paraId="4BF8623C" w14:textId="77777777" w:rsidR="004358C1" w:rsidRPr="00340909" w:rsidRDefault="004358C1">
            <w:pPr>
              <w:rPr>
                <w:rFonts w:ascii="Calibri" w:hAnsi="Calibri"/>
              </w:rPr>
            </w:pPr>
          </w:p>
          <w:p w14:paraId="12DD7A2E" w14:textId="77777777" w:rsidR="004358C1" w:rsidRPr="00340909" w:rsidRDefault="004358C1">
            <w:pPr>
              <w:rPr>
                <w:rFonts w:ascii="Calibri" w:hAnsi="Calibri"/>
              </w:rPr>
            </w:pPr>
          </w:p>
          <w:p w14:paraId="55A4FD24" w14:textId="77777777" w:rsidR="004358C1" w:rsidRPr="00340909" w:rsidRDefault="004358C1">
            <w:pPr>
              <w:rPr>
                <w:rFonts w:ascii="Calibri" w:hAnsi="Calibri"/>
              </w:rPr>
            </w:pPr>
          </w:p>
          <w:p w14:paraId="35904464" w14:textId="77777777" w:rsidR="004358C1" w:rsidRPr="00340909" w:rsidRDefault="004358C1">
            <w:pPr>
              <w:rPr>
                <w:rFonts w:ascii="Calibri" w:hAnsi="Calibri"/>
              </w:rPr>
            </w:pPr>
          </w:p>
          <w:p w14:paraId="7A9C82E5" w14:textId="77777777" w:rsidR="004358C1" w:rsidRPr="00340909" w:rsidRDefault="004358C1">
            <w:pPr>
              <w:rPr>
                <w:rFonts w:ascii="Calibri" w:hAnsi="Calibri"/>
              </w:rPr>
            </w:pPr>
          </w:p>
          <w:p w14:paraId="615691D6" w14:textId="77777777" w:rsidR="004358C1" w:rsidRPr="00340909" w:rsidRDefault="004358C1">
            <w:pPr>
              <w:rPr>
                <w:rFonts w:ascii="Calibri" w:hAnsi="Calibri"/>
              </w:rPr>
            </w:pPr>
          </w:p>
          <w:p w14:paraId="5125A851" w14:textId="77777777" w:rsidR="004358C1" w:rsidRPr="00340909" w:rsidRDefault="004358C1">
            <w:pPr>
              <w:rPr>
                <w:rFonts w:ascii="Calibri" w:hAnsi="Calibri"/>
              </w:rPr>
            </w:pPr>
          </w:p>
          <w:p w14:paraId="2CB702A5" w14:textId="77777777" w:rsidR="004358C1" w:rsidRPr="00340909" w:rsidRDefault="004358C1">
            <w:pPr>
              <w:rPr>
                <w:rFonts w:ascii="Calibri" w:hAnsi="Calibri"/>
              </w:rPr>
            </w:pPr>
          </w:p>
          <w:p w14:paraId="03ED37E8" w14:textId="77777777" w:rsidR="004358C1" w:rsidRPr="00340909" w:rsidRDefault="004358C1">
            <w:pPr>
              <w:rPr>
                <w:rFonts w:ascii="Calibri" w:hAnsi="Calibri"/>
              </w:rPr>
            </w:pPr>
          </w:p>
          <w:p w14:paraId="3E866917" w14:textId="77777777" w:rsidR="004358C1" w:rsidRPr="00340909" w:rsidRDefault="004358C1">
            <w:pPr>
              <w:rPr>
                <w:rFonts w:ascii="Calibri" w:hAnsi="Calibri"/>
              </w:rPr>
            </w:pPr>
          </w:p>
          <w:p w14:paraId="457A7ED5" w14:textId="77777777" w:rsidR="00BB03BE" w:rsidRPr="00340909" w:rsidRDefault="00BB03BE">
            <w:pPr>
              <w:rPr>
                <w:rFonts w:ascii="Calibri" w:hAnsi="Calibri"/>
              </w:rPr>
            </w:pPr>
          </w:p>
          <w:p w14:paraId="0760854D" w14:textId="77777777" w:rsidR="004358C1" w:rsidRPr="00340909" w:rsidRDefault="004358C1">
            <w:pPr>
              <w:rPr>
                <w:rFonts w:ascii="Calibri" w:hAnsi="Calibri"/>
              </w:rPr>
            </w:pPr>
          </w:p>
          <w:p w14:paraId="1CE69F3C" w14:textId="77777777" w:rsidR="004358C1" w:rsidRPr="00340909" w:rsidRDefault="004358C1">
            <w:pPr>
              <w:rPr>
                <w:rFonts w:ascii="Calibri" w:hAnsi="Calibri"/>
              </w:rPr>
            </w:pPr>
          </w:p>
        </w:tc>
      </w:tr>
    </w:tbl>
    <w:p w14:paraId="426EF3AD" w14:textId="77777777" w:rsidR="004358C1" w:rsidRDefault="004358C1" w:rsidP="004358C1">
      <w:pPr>
        <w:rPr>
          <w:rFonts w:ascii="Calibri" w:hAnsi="Calibri"/>
          <w:b/>
        </w:rPr>
      </w:pPr>
    </w:p>
    <w:p w14:paraId="35870944" w14:textId="1575149E" w:rsidR="004358C1" w:rsidRDefault="00CC2032" w:rsidP="004358C1">
      <w:pPr>
        <w:rPr>
          <w:rFonts w:ascii="Calibri" w:hAnsi="Calibri"/>
          <w:b/>
        </w:rPr>
      </w:pPr>
      <w:r>
        <w:rPr>
          <w:rFonts w:ascii="Calibri" w:hAnsi="Calibri"/>
          <w:b/>
          <w:noProof/>
          <w:lang w:val="en-US" w:eastAsia="en-US"/>
        </w:rPr>
        <mc:AlternateContent>
          <mc:Choice Requires="wps">
            <w:drawing>
              <wp:anchor distT="0" distB="0" distL="114300" distR="114300" simplePos="0" relativeHeight="251656704" behindDoc="0" locked="0" layoutInCell="1" allowOverlap="1" wp14:anchorId="26A0C262" wp14:editId="05B89692">
                <wp:simplePos x="0" y="0"/>
                <wp:positionH relativeFrom="column">
                  <wp:posOffset>5257800</wp:posOffset>
                </wp:positionH>
                <wp:positionV relativeFrom="paragraph">
                  <wp:posOffset>50800</wp:posOffset>
                </wp:positionV>
                <wp:extent cx="1028700" cy="488315"/>
                <wp:effectExtent l="11430" t="6985" r="7620" b="952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764DDFFF" w14:textId="77777777" w:rsidR="009311CF" w:rsidRPr="00340909" w:rsidRDefault="009311CF" w:rsidP="000364C6">
                            <w:pPr>
                              <w:jc w:val="right"/>
                              <w:rPr>
                                <w:rFonts w:ascii="Calibri" w:hAnsi="Calibri"/>
                              </w:rPr>
                            </w:pPr>
                          </w:p>
                          <w:p w14:paraId="2497375E"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0C262" id="Text Box 3" o:spid="_x0000_s1028" type="#_x0000_t202" style="position:absolute;margin-left:414pt;margin-top:4pt;width:81pt;height:38.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suLAIAAFcEAAAOAAAAZHJzL2Uyb0RvYy54bWysVNtu2zAMfR+wfxD0vthxky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">
                <v:textbox>
                  <w:txbxContent>
                    <w:p w14:paraId="764DDFFF" w14:textId="77777777" w:rsidR="009311CF" w:rsidRPr="00340909" w:rsidRDefault="009311CF" w:rsidP="000364C6">
                      <w:pPr>
                        <w:jc w:val="right"/>
                        <w:rPr>
                          <w:rFonts w:ascii="Calibri" w:hAnsi="Calibri"/>
                        </w:rPr>
                      </w:pPr>
                    </w:p>
                    <w:p w14:paraId="2497375E"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mc:Fallback>
        </mc:AlternateContent>
      </w:r>
      <w:r>
        <w:rPr>
          <w:rFonts w:ascii="Calibri" w:hAnsi="Calibri"/>
          <w:b/>
          <w:noProof/>
          <w:lang w:val="en-US" w:eastAsia="en-US"/>
        </w:rPr>
        <mc:AlternateContent>
          <mc:Choice Requires="wps">
            <w:drawing>
              <wp:anchor distT="0" distB="0" distL="114300" distR="114300" simplePos="0" relativeHeight="251657728" behindDoc="0" locked="0" layoutInCell="1" allowOverlap="1" wp14:anchorId="004DEA0B" wp14:editId="2C0D90B3">
                <wp:simplePos x="0" y="0"/>
                <wp:positionH relativeFrom="column">
                  <wp:posOffset>2265045</wp:posOffset>
                </wp:positionH>
                <wp:positionV relativeFrom="paragraph">
                  <wp:posOffset>50800</wp:posOffset>
                </wp:positionV>
                <wp:extent cx="1049655" cy="488315"/>
                <wp:effectExtent l="9525" t="6985" r="7620" b="95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599FCB08" w14:textId="77777777" w:rsidR="009311CF" w:rsidRDefault="009311CF"/>
                          <w:p w14:paraId="623CD1E3"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DEA0B" id="Text Box 4" o:spid="_x0000_s1029" type="#_x0000_t202" style="position:absolute;margin-left:178.35pt;margin-top:4pt;width:82.65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">
                <v:textbox>
                  <w:txbxContent>
                    <w:p w14:paraId="599FCB08" w14:textId="77777777" w:rsidR="009311CF" w:rsidRDefault="009311CF"/>
                    <w:p w14:paraId="623CD1E3" w14:textId="77777777"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187B523E" w14:textId="77777777" w:rsidR="004358C1" w:rsidRDefault="004358C1" w:rsidP="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p w14:paraId="4E0ED483" w14:textId="39699F43" w:rsidR="00D75E6D" w:rsidRDefault="00D75E6D">
      <w:pPr>
        <w:rPr>
          <w:rFonts w:ascii="Calibri" w:hAnsi="Calibri"/>
        </w:rPr>
      </w:pPr>
    </w:p>
    <w:p w14:paraId="240F98CB" w14:textId="05657A38" w:rsidR="005F23A8" w:rsidRDefault="005F23A8">
      <w:pPr>
        <w:rPr>
          <w:rFonts w:ascii="Calibri" w:hAnsi="Calibri"/>
        </w:rPr>
      </w:pPr>
    </w:p>
    <w:p w14:paraId="210E5AFC" w14:textId="3EC54891" w:rsidR="005F23A8" w:rsidRDefault="005F23A8">
      <w:pPr>
        <w:rPr>
          <w:rFonts w:ascii="Calibri" w:hAnsi="Calibri"/>
        </w:rPr>
      </w:pPr>
      <w:r>
        <w:rPr>
          <w:rFonts w:ascii="Calibri" w:hAnsi="Calibri"/>
        </w:rPr>
        <w:br w:type="page"/>
      </w:r>
    </w:p>
    <w:p w14:paraId="317DC668" w14:textId="377D79F4" w:rsidR="005F23A8" w:rsidRDefault="005F23A8" w:rsidP="005F23A8">
      <w:pPr>
        <w:pStyle w:val="Heading1"/>
      </w:pPr>
      <w:r>
        <w:lastRenderedPageBreak/>
        <w:t>Aftermath of the 2016 Brexit Referendum for publicly-listed companies</w:t>
      </w:r>
    </w:p>
    <w:p w14:paraId="63BC5BCE" w14:textId="4C1AE9B1" w:rsidR="005F23A8" w:rsidRDefault="005F23A8" w:rsidP="005F23A8"/>
    <w:p w14:paraId="78336F19" w14:textId="3CB67BB5" w:rsidR="00A8436F" w:rsidRDefault="00A8436F" w:rsidP="00A8436F">
      <w:pPr>
        <w:jc w:val="center"/>
      </w:pPr>
      <w:r w:rsidRPr="00A8436F">
        <w:rPr>
          <w:sz w:val="32"/>
          <w:szCs w:val="32"/>
        </w:rPr>
        <w:t>Introduction</w:t>
      </w:r>
    </w:p>
    <w:p w14:paraId="546BCF65" w14:textId="10CF92D4" w:rsidR="00A8436F" w:rsidRDefault="008F0B8D" w:rsidP="00A8436F">
      <w:pPr>
        <w:ind w:firstLine="720"/>
      </w:pPr>
      <w:r w:rsidRPr="0023206C">
        <w:t>Brexit refers to the withdrawal of the United Kingdom [UK] from the European Union [EU]. In a referendum held on the 23</w:t>
      </w:r>
      <w:r w:rsidRPr="0023206C">
        <w:rPr>
          <w:vertAlign w:val="superscript"/>
        </w:rPr>
        <w:t>rd</w:t>
      </w:r>
      <w:r w:rsidRPr="0023206C">
        <w:t xml:space="preserve"> of June 2016, UK citizens voted to leave the EU with 51.9% those in favour of Brexit. Since then, a round of negotiations had begun between the EU and the UK. After many arguments, on the 23</w:t>
      </w:r>
      <w:r w:rsidRPr="0023206C">
        <w:rPr>
          <w:vertAlign w:val="superscript"/>
        </w:rPr>
        <w:t>rd</w:t>
      </w:r>
      <w:r w:rsidRPr="0023206C">
        <w:t xml:space="preserve"> of January 2020, the EU Withdrawal Agreement Act was finally implemented. There were several different reasons why people voted for Brexit and the main one was to gain more sovereignty, take control of immigration and create possible new trade deals with countries outside of the EU like the USA. People, who voted agains Brexit, supported the idea of a wider union with favourable trade deals and good relationships with the EU members. Britain is still in a transition period, which means that it is still under the EU’s customs union and single market, however it is not a part of the political institutions. This paper aims to analyse the aftermath of Brexit on the Stock markets for Germany, France and the United Kingdom.</w:t>
      </w:r>
    </w:p>
    <w:p w14:paraId="064086E0" w14:textId="77777777" w:rsidR="008F0B8D" w:rsidRDefault="008F0B8D" w:rsidP="00A8436F">
      <w:pPr>
        <w:ind w:firstLine="720"/>
        <w:rPr>
          <w:color w:val="000000" w:themeColor="text1"/>
        </w:rPr>
      </w:pPr>
    </w:p>
    <w:p w14:paraId="6E293AB2" w14:textId="01C51D64" w:rsidR="00A8436F" w:rsidRPr="005D70C6" w:rsidRDefault="00A8436F" w:rsidP="00A8436F">
      <w:pPr>
        <w:ind w:firstLine="720"/>
        <w:jc w:val="center"/>
        <w:rPr>
          <w:color w:val="000000" w:themeColor="text1"/>
        </w:rPr>
      </w:pPr>
      <w:r w:rsidRPr="00A8436F">
        <w:rPr>
          <w:color w:val="000000" w:themeColor="text1"/>
          <w:sz w:val="32"/>
          <w:szCs w:val="32"/>
        </w:rPr>
        <w:t>D</w:t>
      </w:r>
      <w:r w:rsidRPr="00A8436F">
        <w:rPr>
          <w:color w:val="000000" w:themeColor="text1"/>
          <w:sz w:val="32"/>
          <w:szCs w:val="32"/>
        </w:rPr>
        <w:t>escriptive statistical charts</w:t>
      </w:r>
    </w:p>
    <w:p w14:paraId="1EC24C69" w14:textId="77777777" w:rsidR="001430A2" w:rsidRDefault="001430A2" w:rsidP="005F23A8">
      <w:pPr>
        <w:rPr>
          <w:lang w:val="en-US"/>
        </w:rPr>
      </w:pPr>
    </w:p>
    <w:p w14:paraId="0CFEF1E0" w14:textId="6A129322" w:rsidR="005F23A8" w:rsidRPr="001430A2" w:rsidRDefault="001430A2" w:rsidP="005F23A8">
      <w:pPr>
        <w:rPr>
          <w:color w:val="1F497D" w:themeColor="text2"/>
          <w:u w:val="single"/>
          <w:lang w:val="en-US"/>
        </w:rPr>
      </w:pPr>
      <w:r w:rsidRPr="001430A2">
        <w:rPr>
          <w:color w:val="1F497D" w:themeColor="text2"/>
          <w:u w:val="single"/>
          <w:lang w:val="en-US"/>
        </w:rPr>
        <w:t>Figure 1:</w:t>
      </w:r>
      <w:r w:rsidR="00372390" w:rsidRPr="001430A2">
        <w:rPr>
          <w:noProof/>
          <w:color w:val="1F497D" w:themeColor="text2"/>
          <w:u w:val="single"/>
          <w:lang w:val="en-US" w:eastAsia="en-US"/>
        </w:rPr>
        <w:drawing>
          <wp:anchor distT="0" distB="0" distL="114300" distR="114300" simplePos="0" relativeHeight="251656192" behindDoc="0" locked="0" layoutInCell="1" allowOverlap="1" wp14:anchorId="52FC1C4E" wp14:editId="177F0094">
            <wp:simplePos x="0" y="0"/>
            <wp:positionH relativeFrom="margin">
              <wp:posOffset>1905</wp:posOffset>
            </wp:positionH>
            <wp:positionV relativeFrom="paragraph">
              <wp:posOffset>196850</wp:posOffset>
            </wp:positionV>
            <wp:extent cx="6293485" cy="3314700"/>
            <wp:effectExtent l="0" t="0" r="0" b="0"/>
            <wp:wrapThrough wrapText="bothSides">
              <wp:wrapPolygon edited="0">
                <wp:start x="0" y="0"/>
                <wp:lineTo x="0" y="21476"/>
                <wp:lineTo x="21511" y="21476"/>
                <wp:lineTo x="2151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22" t="4116" r="7022" b="5327"/>
                    <a:stretch/>
                  </pic:blipFill>
                  <pic:spPr bwMode="auto">
                    <a:xfrm>
                      <a:off x="0" y="0"/>
                      <a:ext cx="6293485" cy="331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76A022" w14:textId="77777777" w:rsidR="00983747" w:rsidRDefault="00983747" w:rsidP="00983747">
      <w:pPr>
        <w:ind w:firstLine="720"/>
        <w:rPr>
          <w:lang w:val="en-US"/>
        </w:rPr>
      </w:pPr>
    </w:p>
    <w:p w14:paraId="1D80E236" w14:textId="77777777" w:rsidR="008F0B8D" w:rsidRDefault="008F0B8D" w:rsidP="008F0B8D">
      <w:pPr>
        <w:ind w:firstLine="720"/>
        <w:rPr>
          <w:lang w:val="en-US"/>
        </w:rPr>
      </w:pPr>
      <w:r>
        <w:rPr>
          <w:lang w:val="en-US"/>
        </w:rPr>
        <w:t xml:space="preserve">Before 2016 the </w:t>
      </w:r>
      <w:r w:rsidRPr="0023206C">
        <w:rPr>
          <w:lang w:val="en-US"/>
        </w:rPr>
        <w:t>UK publicly listed companies’ stock price m</w:t>
      </w:r>
      <w:r>
        <w:rPr>
          <w:lang w:val="en-US"/>
        </w:rPr>
        <w:t xml:space="preserve">ovements were similar to the EU. </w:t>
      </w:r>
    </w:p>
    <w:p w14:paraId="7472EE3B" w14:textId="77777777" w:rsidR="008F0B8D" w:rsidRPr="0023206C" w:rsidRDefault="008F0B8D" w:rsidP="008F0B8D">
      <w:pPr>
        <w:rPr>
          <w:lang w:val="en-US"/>
        </w:rPr>
      </w:pPr>
      <w:r w:rsidRPr="0023206C">
        <w:rPr>
          <w:lang w:val="en-US"/>
        </w:rPr>
        <w:t>Figure 1, shows that on the referendum day there was almost a 20% drop for UK companies. The significant drop signals that investors were not optimistic with the outcome of Brexit. To add, by the end of 2016, all market experienced a “bull market” (an extended period in the market when stock prices are on the rise), but as we can see the growth rate for the UK stock market is much lower compared to the other countries.</w:t>
      </w:r>
      <w:r>
        <w:rPr>
          <w:lang w:val="en-US"/>
        </w:rPr>
        <w:t xml:space="preserve"> At the end of 2016, UK was experiencing a growth but still at a negative rate. </w:t>
      </w:r>
    </w:p>
    <w:p w14:paraId="2355ED2F" w14:textId="0C61353B" w:rsidR="00817F28" w:rsidRDefault="00817F28">
      <w:pPr>
        <w:rPr>
          <w:color w:val="1F497D" w:themeColor="text2"/>
          <w:lang w:val="en-US"/>
        </w:rPr>
      </w:pPr>
      <w:r>
        <w:rPr>
          <w:color w:val="1F497D" w:themeColor="text2"/>
          <w:lang w:val="en-US"/>
        </w:rPr>
        <w:br w:type="page"/>
      </w:r>
    </w:p>
    <w:p w14:paraId="1C76D67C" w14:textId="0CB16542" w:rsidR="00633F8B" w:rsidRPr="00B1158E" w:rsidRDefault="0097340A" w:rsidP="005F23A8">
      <w:pPr>
        <w:rPr>
          <w:color w:val="1F497D" w:themeColor="text2"/>
          <w:lang w:val="en-US"/>
        </w:rPr>
      </w:pPr>
      <w:r w:rsidRPr="0097340A">
        <w:rPr>
          <w:color w:val="1F497D" w:themeColor="text2"/>
          <w:u w:val="single"/>
          <w:lang w:val="en-US"/>
        </w:rPr>
        <w:lastRenderedPageBreak/>
        <w:t>Figure 2:</w:t>
      </w:r>
      <w:r w:rsidR="00633F8B">
        <w:rPr>
          <w:lang w:val="en-US"/>
        </w:rPr>
        <w:t xml:space="preserve"> </w:t>
      </w:r>
      <w:r w:rsidR="00CD09C7">
        <w:rPr>
          <w:noProof/>
          <w:lang w:val="en-US" w:eastAsia="en-US"/>
        </w:rPr>
        <w:drawing>
          <wp:inline distT="0" distB="0" distL="0" distR="0" wp14:anchorId="7A530F73" wp14:editId="5F84AD1B">
            <wp:extent cx="6292215" cy="3145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2215" cy="3145790"/>
                    </a:xfrm>
                    <a:prstGeom prst="rect">
                      <a:avLst/>
                    </a:prstGeom>
                    <a:noFill/>
                    <a:ln>
                      <a:noFill/>
                    </a:ln>
                  </pic:spPr>
                </pic:pic>
              </a:graphicData>
            </a:graphic>
          </wp:inline>
        </w:drawing>
      </w:r>
    </w:p>
    <w:p w14:paraId="15D8B69A" w14:textId="422DB728" w:rsidR="005F23A8" w:rsidRDefault="005F23A8" w:rsidP="005F23A8">
      <w:pPr>
        <w:rPr>
          <w:lang w:val="en-US"/>
        </w:rPr>
      </w:pPr>
    </w:p>
    <w:p w14:paraId="36115312" w14:textId="0DA6A500" w:rsidR="00983747" w:rsidRDefault="00B62C04" w:rsidP="003339E7">
      <w:r>
        <w:t xml:space="preserve"> </w:t>
      </w:r>
    </w:p>
    <w:p w14:paraId="0D8FEB46" w14:textId="77777777" w:rsidR="00B1158E" w:rsidRDefault="003339E7" w:rsidP="00B1158E">
      <w:r>
        <w:tab/>
      </w:r>
      <w:r w:rsidR="00B1158E" w:rsidRPr="0023206C">
        <w:t xml:space="preserve">In Figure 2, we have break down the data into sectors to show how each sector reacted to the Brexit Referendum. We can see that half of the sectors averages have fallen below their initial point. The industrial sector has recovered very quickly after the Brexit referendum and we can see an upward trend at the end of 2016. </w:t>
      </w:r>
      <w:r w:rsidR="00B1158E">
        <w:t xml:space="preserve">The consumer staples and utility sector did significantly better after the referendum, which links to investors expecting an economic slowdown. </w:t>
      </w:r>
    </w:p>
    <w:p w14:paraId="6541A40F" w14:textId="77777777" w:rsidR="00B1158E" w:rsidRDefault="00B1158E" w:rsidP="00B1158E">
      <w:r>
        <w:t xml:space="preserve">           Another important date for the stock market was October 5th, where Theresa May gave a speech at the Conservative Party conference addressing Brexit. We can see a small drop after the speech in all sectors, but a quick recovery for all of them. </w:t>
      </w:r>
    </w:p>
    <w:p w14:paraId="223FC62B" w14:textId="77777777" w:rsidR="00B1158E" w:rsidRDefault="00B1158E" w:rsidP="00B1158E">
      <w:r>
        <w:t xml:space="preserve">           The energy and materials sector was not affected much by Brexit, rather than the global situation. Even though it has gotten above 20% growth throughout the year 2016, it is needed to be mentioned that there was a fall in oil prices at the start of the year that help to boost investment. </w:t>
      </w:r>
    </w:p>
    <w:p w14:paraId="03A2169F" w14:textId="77777777" w:rsidR="00B1158E" w:rsidRDefault="00B1158E" w:rsidP="00B1158E">
      <w:r>
        <w:t xml:space="preserve">Furthermore, besides Brexit, there was a global stock market selloff in 2015-2016 due to China’s GDP slower growth, which affected the results. </w:t>
      </w:r>
    </w:p>
    <w:p w14:paraId="22572D93" w14:textId="7C4A91AC" w:rsidR="0097340A" w:rsidRDefault="0097340A" w:rsidP="00B1158E"/>
    <w:p w14:paraId="04EDE696" w14:textId="77777777" w:rsidR="0097340A" w:rsidRDefault="0097340A" w:rsidP="003339E7"/>
    <w:p w14:paraId="61695E53" w14:textId="0BE0DC9F" w:rsidR="008F0B8D" w:rsidRDefault="008F0B8D" w:rsidP="00B1158E">
      <w:r>
        <w:t xml:space="preserve"> </w:t>
      </w:r>
    </w:p>
    <w:p w14:paraId="4A3C3668" w14:textId="22546DD2" w:rsidR="0097340A" w:rsidRDefault="0097340A" w:rsidP="003339E7"/>
    <w:p w14:paraId="321D7532" w14:textId="77777777" w:rsidR="0097340A" w:rsidRDefault="0097340A" w:rsidP="003339E7"/>
    <w:p w14:paraId="5967AB05" w14:textId="77777777" w:rsidR="0097340A" w:rsidRDefault="0097340A" w:rsidP="003339E7"/>
    <w:p w14:paraId="479E521B" w14:textId="77777777" w:rsidR="0097340A" w:rsidRDefault="0097340A" w:rsidP="003339E7"/>
    <w:p w14:paraId="3BC3A023" w14:textId="77777777" w:rsidR="0097340A" w:rsidRDefault="0097340A" w:rsidP="003339E7"/>
    <w:p w14:paraId="57628F43" w14:textId="77777777" w:rsidR="0097340A" w:rsidRDefault="0097340A" w:rsidP="003339E7"/>
    <w:p w14:paraId="68AD9754" w14:textId="77777777" w:rsidR="0097340A" w:rsidRDefault="0097340A" w:rsidP="003339E7"/>
    <w:p w14:paraId="4116F62C" w14:textId="77777777" w:rsidR="0097340A" w:rsidRDefault="0097340A" w:rsidP="003339E7"/>
    <w:p w14:paraId="6BD2ECE4" w14:textId="77777777" w:rsidR="0097340A" w:rsidRDefault="0097340A" w:rsidP="003339E7"/>
    <w:p w14:paraId="700DF3CA" w14:textId="77777777" w:rsidR="0097340A" w:rsidRDefault="0097340A" w:rsidP="003339E7"/>
    <w:p w14:paraId="7832624E" w14:textId="77777777" w:rsidR="0097340A" w:rsidRDefault="0097340A" w:rsidP="003339E7"/>
    <w:p w14:paraId="4CCF05B4" w14:textId="77777777" w:rsidR="0097340A" w:rsidRDefault="0097340A" w:rsidP="003339E7"/>
    <w:p w14:paraId="44CA3E32" w14:textId="6DC4535F" w:rsidR="00817F28" w:rsidRDefault="00817F28">
      <w:r>
        <w:br w:type="page"/>
      </w:r>
    </w:p>
    <w:p w14:paraId="206BF581" w14:textId="3F3B390B" w:rsidR="0097340A" w:rsidRDefault="0097340A" w:rsidP="0097340A">
      <w:pPr>
        <w:rPr>
          <w:u w:val="single"/>
        </w:rPr>
      </w:pPr>
      <w:r w:rsidRPr="0097340A">
        <w:rPr>
          <w:u w:val="single"/>
        </w:rPr>
        <w:lastRenderedPageBreak/>
        <w:t>Figure 3:</w:t>
      </w:r>
    </w:p>
    <w:p w14:paraId="2FD263C1" w14:textId="7AC60A60" w:rsidR="0097340A" w:rsidRDefault="0097340A" w:rsidP="0097340A">
      <w:pPr>
        <w:rPr>
          <w:u w:val="single"/>
        </w:rPr>
      </w:pPr>
    </w:p>
    <w:p w14:paraId="673F0131" w14:textId="1A88F220" w:rsidR="0097340A" w:rsidRDefault="00B1158E" w:rsidP="0097340A">
      <w:pPr>
        <w:rPr>
          <w:u w:val="single"/>
        </w:rPr>
      </w:pPr>
      <w:r>
        <w:rPr>
          <w:noProof/>
          <w:lang w:val="en-US" w:eastAsia="en-US"/>
        </w:rPr>
        <w:drawing>
          <wp:anchor distT="0" distB="0" distL="114300" distR="114300" simplePos="0" relativeHeight="251658240" behindDoc="0" locked="0" layoutInCell="1" allowOverlap="1" wp14:anchorId="04F49C22" wp14:editId="5BF23CC6">
            <wp:simplePos x="0" y="0"/>
            <wp:positionH relativeFrom="margin">
              <wp:align>left</wp:align>
            </wp:positionH>
            <wp:positionV relativeFrom="paragraph">
              <wp:posOffset>198755</wp:posOffset>
            </wp:positionV>
            <wp:extent cx="6292215" cy="2620010"/>
            <wp:effectExtent l="0" t="0" r="0" b="8890"/>
            <wp:wrapThrough wrapText="bothSides">
              <wp:wrapPolygon edited="0">
                <wp:start x="0" y="0"/>
                <wp:lineTo x="0" y="21516"/>
                <wp:lineTo x="21515" y="21516"/>
                <wp:lineTo x="2151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870"/>
                    <a:stretch/>
                  </pic:blipFill>
                  <pic:spPr bwMode="auto">
                    <a:xfrm>
                      <a:off x="0" y="0"/>
                      <a:ext cx="6292215" cy="2620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D2CEC3" w14:textId="77777777" w:rsidR="0097340A" w:rsidRDefault="0097340A" w:rsidP="0097340A">
      <w:pPr>
        <w:rPr>
          <w:u w:val="single"/>
        </w:rPr>
      </w:pPr>
    </w:p>
    <w:p w14:paraId="18167EDE" w14:textId="77777777" w:rsidR="00B1158E" w:rsidRPr="0097340A" w:rsidRDefault="00B1158E" w:rsidP="00B1158E">
      <w:pPr>
        <w:ind w:firstLine="720"/>
        <w:rPr>
          <w:u w:val="single"/>
        </w:rPr>
      </w:pPr>
      <w:r w:rsidRPr="003339E7">
        <w:rPr>
          <w:lang w:val="en-US"/>
        </w:rPr>
        <w:t>To have a better understanding of</w:t>
      </w:r>
      <w:r>
        <w:rPr>
          <w:lang w:val="en-US"/>
        </w:rPr>
        <w:t xml:space="preserve"> the</w:t>
      </w:r>
      <w:r w:rsidRPr="003339E7">
        <w:rPr>
          <w:lang w:val="en-US"/>
        </w:rPr>
        <w:t xml:space="preserve"> Brexit effects o</w:t>
      </w:r>
      <w:r>
        <w:rPr>
          <w:lang w:val="en-US"/>
        </w:rPr>
        <w:t>n the UK, Figure 3,</w:t>
      </w:r>
      <w:r w:rsidRPr="003339E7">
        <w:rPr>
          <w:lang w:val="en-US"/>
        </w:rPr>
        <w:t xml:space="preserve"> shows the difference in UK sectors compared to average changes in stock prices for France and Germany in the same sectors. For the consumer discretionary sector, the difference was growing before the referendum day, but it has increased the gap and slowed growth for </w:t>
      </w:r>
      <w:r>
        <w:rPr>
          <w:lang w:val="en-US"/>
        </w:rPr>
        <w:t xml:space="preserve">the </w:t>
      </w:r>
      <w:r w:rsidRPr="003339E7">
        <w:rPr>
          <w:lang w:val="en-US"/>
        </w:rPr>
        <w:t>UK sectors when compared to France and Germany. A similar picture is seen in industrials, financials, and utility sectors, even though the utility sector has improved by the end of the year and increased more than the average of France and Germany. UK consumer staples sector has gone from increasing its positive gap to being below about 15% at the end of 2016. The energy and materials sector difference across the three countries was not affected much by the sector and was steadily up around 10% throughout the year.</w:t>
      </w:r>
    </w:p>
    <w:p w14:paraId="77944FB9" w14:textId="58A45298" w:rsidR="003339E7" w:rsidRDefault="003339E7">
      <w:pPr>
        <w:rPr>
          <w:lang w:val="en-US"/>
        </w:rPr>
      </w:pPr>
      <w:r>
        <w:rPr>
          <w:lang w:val="en-US"/>
        </w:rPr>
        <w:br w:type="page"/>
      </w:r>
    </w:p>
    <w:p w14:paraId="330178EC" w14:textId="60896EBA" w:rsidR="00983747" w:rsidRPr="0097340A" w:rsidRDefault="0097340A">
      <w:pPr>
        <w:rPr>
          <w:color w:val="1F497D" w:themeColor="text2"/>
          <w:u w:val="single"/>
          <w:lang w:val="en-US"/>
        </w:rPr>
      </w:pPr>
      <w:r w:rsidRPr="0097340A">
        <w:rPr>
          <w:color w:val="1F497D" w:themeColor="text2"/>
          <w:u w:val="single"/>
          <w:lang w:val="en-US"/>
        </w:rPr>
        <w:lastRenderedPageBreak/>
        <w:t>Figure 4:</w:t>
      </w:r>
    </w:p>
    <w:p w14:paraId="4D542EFD" w14:textId="79C13ECF" w:rsidR="00B62C04" w:rsidRPr="00F82442" w:rsidRDefault="00220978">
      <w:pPr>
        <w:rPr>
          <w:lang w:val="en-US"/>
        </w:rPr>
      </w:pPr>
      <w:r>
        <w:rPr>
          <w:noProof/>
          <w:lang w:val="en-US" w:eastAsia="en-US"/>
        </w:rPr>
        <w:drawing>
          <wp:inline distT="0" distB="0" distL="0" distR="0" wp14:anchorId="6F804EBA" wp14:editId="4CF15990">
            <wp:extent cx="6294120" cy="445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120" cy="4455160"/>
                    </a:xfrm>
                    <a:prstGeom prst="rect">
                      <a:avLst/>
                    </a:prstGeom>
                    <a:noFill/>
                    <a:ln>
                      <a:noFill/>
                    </a:ln>
                  </pic:spPr>
                </pic:pic>
              </a:graphicData>
            </a:graphic>
          </wp:inline>
        </w:drawing>
      </w:r>
    </w:p>
    <w:p w14:paraId="372CCECF" w14:textId="77777777" w:rsidR="00B62C04" w:rsidRDefault="00B62C04"/>
    <w:p w14:paraId="4AF291A4" w14:textId="6990D4D5" w:rsidR="00A8436F" w:rsidRDefault="00220978" w:rsidP="005F23A8">
      <w:r>
        <w:tab/>
      </w:r>
      <w:r w:rsidR="00B1158E">
        <w:t xml:space="preserve">Day-to-day stock price fluctuations are not always the best way to show actual results, as they are affected by investors speculations. To have more accurate results, It might be better to examine the average operating margins as they can be more precise. </w:t>
      </w:r>
      <w:r w:rsidR="00E845DF" w:rsidRPr="00E845DF">
        <w:t xml:space="preserve">The patterns we have in Figure 4 partly explain the results from Figure 3 that UK companies performed worst in the consumer </w:t>
      </w:r>
      <w:r w:rsidR="00E845DF" w:rsidRPr="00E845DF">
        <w:t>discretionary</w:t>
      </w:r>
      <w:r w:rsidR="00E845DF" w:rsidRPr="00E845DF">
        <w:t xml:space="preserve"> sector and relatively well in energy and materials sector between 2015 to 2017 compared with France and Germany companies</w:t>
      </w:r>
      <w:r w:rsidR="00B1158E">
        <w:t>.</w:t>
      </w:r>
      <w:r w:rsidR="00142A86">
        <w:t xml:space="preserve"> </w:t>
      </w:r>
      <w:r w:rsidR="00B1158E">
        <w:t>Different researches show that due to possible economic downturn, people spent more money on essential good, rather than discretionary over these years.</w:t>
      </w:r>
    </w:p>
    <w:p w14:paraId="75E98FE9" w14:textId="77777777" w:rsidR="00A8436F" w:rsidRDefault="00A8436F">
      <w:r>
        <w:br w:type="page"/>
      </w:r>
    </w:p>
    <w:p w14:paraId="165C9572" w14:textId="77777777" w:rsidR="005F23A8" w:rsidRDefault="005F23A8" w:rsidP="005F23A8"/>
    <w:p w14:paraId="1DCC3BEB" w14:textId="3F236D2E" w:rsidR="00A8436F" w:rsidRDefault="00A8436F" w:rsidP="005F23A8"/>
    <w:p w14:paraId="4D204A23" w14:textId="79F51FCD" w:rsidR="00A8436F" w:rsidRPr="00A8436F" w:rsidRDefault="00A8436F" w:rsidP="00A8436F">
      <w:pPr>
        <w:jc w:val="center"/>
        <w:rPr>
          <w:sz w:val="32"/>
          <w:szCs w:val="32"/>
        </w:rPr>
      </w:pPr>
      <w:r w:rsidRPr="00A8436F">
        <w:rPr>
          <w:sz w:val="32"/>
          <w:szCs w:val="32"/>
        </w:rPr>
        <w:t>Regression analysis</w:t>
      </w:r>
    </w:p>
    <w:p w14:paraId="4BD1FF6C" w14:textId="77777777" w:rsidR="00A8436F" w:rsidRDefault="00A8436F" w:rsidP="00A8436F">
      <w:pPr>
        <w:ind w:left="2880" w:firstLine="720"/>
      </w:pPr>
    </w:p>
    <w:p w14:paraId="388FDAF7" w14:textId="491B4D86" w:rsidR="00E82ABE" w:rsidRDefault="003339E7">
      <w:r>
        <w:tab/>
      </w:r>
    </w:p>
    <w:p w14:paraId="7304E62B" w14:textId="77777777" w:rsidR="00A8436F" w:rsidRDefault="00A8436F" w:rsidP="00A8436F">
      <w:pPr>
        <w:ind w:firstLine="720"/>
      </w:pPr>
      <w:r w:rsidRPr="0020694D">
        <w:t xml:space="preserve">With annual </w:t>
      </w:r>
      <w:r>
        <w:t xml:space="preserve">panel </w:t>
      </w:r>
      <w:r w:rsidRPr="0020694D">
        <w:t>data, we run the regression on all the sectors and also on specific sectors</w:t>
      </w:r>
      <w:r>
        <w:t>:</w:t>
      </w:r>
    </w:p>
    <w:p w14:paraId="1DFEF509" w14:textId="77777777" w:rsidR="00A8436F" w:rsidRPr="00360C06" w:rsidRDefault="00A8436F" w:rsidP="00A8436F">
      <m:oMathPara>
        <m:oMath>
          <m:sSub>
            <m:sSubPr>
              <m:ctrlPr>
                <w:rPr>
                  <w:rFonts w:ascii="Cambria Math" w:hAnsi="Cambria Math"/>
                </w:rPr>
              </m:ctrlPr>
            </m:sSubPr>
            <m:e>
              <m:r>
                <m:rPr>
                  <m:sty m:val="p"/>
                </m:rPr>
                <w:rPr>
                  <w:rFonts w:ascii="Cambria Math" w:hAnsi="Cambria Math"/>
                </w:rPr>
                <m:t>annual</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sSub>
            <m:sSubPr>
              <m:ctrlPr>
                <w:rPr>
                  <w:rFonts w:ascii="Cambria Math" w:hAnsi="Cambria Math"/>
                </w:rPr>
              </m:ctrlPr>
            </m:sSubPr>
            <m:e>
              <m:r>
                <m:rPr>
                  <m:sty m:val="p"/>
                </m:rPr>
                <w:rPr>
                  <w:rFonts w:ascii="Cambria Math" w:hAnsi="Cambria Math"/>
                </w:rPr>
                <m:t>assets</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2</m:t>
              </m:r>
            </m:sub>
          </m:sSub>
          <m:sSub>
            <m:sSubPr>
              <m:ctrlPr>
                <w:rPr>
                  <w:rFonts w:ascii="Cambria Math" w:hAnsi="Cambria Math"/>
                </w:rPr>
              </m:ctrlPr>
            </m:sSubPr>
            <m:e>
              <m:r>
                <m:rPr>
                  <m:sty m:val="p"/>
                </m:rPr>
                <w:rPr>
                  <w:rFonts w:ascii="Cambria Math" w:hAnsi="Cambria Math"/>
                </w:rPr>
                <m:t>operating</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3</m:t>
              </m:r>
            </m:sub>
          </m:sSub>
          <m:sSub>
            <m:sSubPr>
              <m:ctrlPr>
                <w:rPr>
                  <w:rFonts w:ascii="Cambria Math" w:hAnsi="Cambria Math"/>
                </w:rPr>
              </m:ctrlPr>
            </m:sSubPr>
            <m:e>
              <m:r>
                <m:rPr>
                  <m:sty m:val="p"/>
                </m:rPr>
                <w:rPr>
                  <w:rFonts w:ascii="Cambria Math" w:hAnsi="Cambria Math"/>
                </w:rPr>
                <m:t>debttoassets</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4</m:t>
              </m:r>
            </m:sub>
          </m:sSub>
          <m:sSub>
            <m:sSubPr>
              <m:ctrlPr>
                <w:rPr>
                  <w:rFonts w:ascii="Cambria Math" w:hAnsi="Cambria Math"/>
                </w:rPr>
              </m:ctrlPr>
            </m:sSubPr>
            <m:e>
              <m:r>
                <m:rPr>
                  <m:sty m:val="p"/>
                </m:rPr>
                <w:rPr>
                  <w:rFonts w:ascii="Cambria Math" w:hAnsi="Cambria Math"/>
                </w:rPr>
                <m:t>postbrexit</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5</m:t>
              </m:r>
            </m:sub>
          </m:sSub>
          <m:sSub>
            <m:sSubPr>
              <m:ctrlPr>
                <w:rPr>
                  <w:rFonts w:ascii="Cambria Math" w:hAnsi="Cambria Math"/>
                </w:rPr>
              </m:ctrlPr>
            </m:sSubPr>
            <m:e>
              <m:r>
                <m:rPr>
                  <m:sty m:val="p"/>
                </m:rPr>
                <w:rPr>
                  <w:rFonts w:ascii="Cambria Math" w:hAnsi="Cambria Math"/>
                </w:rPr>
                <m:t>treated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6</m:t>
              </m:r>
            </m:sub>
          </m:sSub>
          <m:sSub>
            <m:sSubPr>
              <m:ctrlPr>
                <w:rPr>
                  <w:rFonts w:ascii="Cambria Math" w:hAnsi="Cambria Math"/>
                </w:rPr>
              </m:ctrlPr>
            </m:sSubPr>
            <m:e>
              <m:r>
                <m:rPr>
                  <m:sty m:val="p"/>
                </m:rPr>
                <w:rPr>
                  <w:rFonts w:ascii="Cambria Math" w:hAnsi="Cambria Math"/>
                </w:rPr>
                <m:t>postbrext</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treated</m:t>
              </m:r>
            </m:e>
            <m:sub>
              <m:r>
                <w:rPr>
                  <w:rFonts w:ascii="Cambria Math" w:hAnsi="Cambria Math"/>
                </w:rPr>
                <m:t>i,t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i,t</m:t>
              </m:r>
            </m:sub>
          </m:sSub>
          <m:r>
            <m:rPr>
              <m:sty m:val="p"/>
            </m:rPr>
            <w:rPr>
              <w:rFonts w:ascii="Cambria Math" w:hAnsi="Cambria Math"/>
            </w:rPr>
            <m:t xml:space="preserve"> </m:t>
          </m:r>
        </m:oMath>
      </m:oMathPara>
    </w:p>
    <w:p w14:paraId="590B2605" w14:textId="36424F7E" w:rsidR="00A8436F" w:rsidRPr="0020694D" w:rsidRDefault="00A8436F" w:rsidP="00A8436F">
      <w:r>
        <w:rPr>
          <w:rFonts w:hint="eastAsia"/>
        </w:rPr>
        <w:t>w</w:t>
      </w:r>
      <w:r>
        <w:t xml:space="preserve">here </w:t>
      </w:r>
      <m:oMath>
        <m:sSub>
          <m:sSubPr>
            <m:ctrlPr>
              <w:rPr>
                <w:rFonts w:ascii="Cambria Math" w:hAnsi="Cambria Math"/>
              </w:rPr>
            </m:ctrlPr>
          </m:sSubPr>
          <m:e>
            <m:r>
              <m:rPr>
                <m:sty m:val="p"/>
              </m:rPr>
              <w:rPr>
                <w:rFonts w:ascii="Cambria Math" w:hAnsi="Cambria Math"/>
              </w:rPr>
              <m:t>annual</m:t>
            </m:r>
          </m:e>
          <m:sub>
            <m:r>
              <w:rPr>
                <w:rFonts w:ascii="Cambria Math" w:hAnsi="Cambria Math"/>
              </w:rPr>
              <m:t>i,t</m:t>
            </m:r>
          </m:sub>
        </m:sSub>
      </m:oMath>
      <w:r>
        <w:rPr>
          <w:rFonts w:hint="eastAsia"/>
        </w:rPr>
        <w:t xml:space="preserve"> </w:t>
      </w:r>
      <w:r>
        <w:t xml:space="preserve">denotes the annual returns for each companies; </w:t>
      </w:r>
      <m:oMath>
        <m:sSub>
          <m:sSubPr>
            <m:ctrlPr>
              <w:rPr>
                <w:rFonts w:ascii="Cambria Math" w:hAnsi="Cambria Math"/>
              </w:rPr>
            </m:ctrlPr>
          </m:sSubPr>
          <m:e>
            <m:r>
              <m:rPr>
                <m:sty m:val="p"/>
              </m:rPr>
              <w:rPr>
                <w:rFonts w:ascii="Cambria Math" w:hAnsi="Cambria Math"/>
              </w:rPr>
              <m:t>assets</m:t>
            </m:r>
          </m:e>
          <m:sub>
            <m:r>
              <w:rPr>
                <w:rFonts w:ascii="Cambria Math" w:hAnsi="Cambria Math"/>
              </w:rPr>
              <m:t>i,t</m:t>
            </m:r>
          </m:sub>
        </m:sSub>
      </m:oMath>
      <w:r>
        <w:rPr>
          <w:rFonts w:hint="eastAsia"/>
        </w:rPr>
        <w:t xml:space="preserve"> </w:t>
      </w:r>
      <w:r>
        <w:t xml:space="preserve">denotes the companies’ asset values; </w:t>
      </w:r>
      <m:oMath>
        <m:sSub>
          <m:sSubPr>
            <m:ctrlPr>
              <w:rPr>
                <w:rFonts w:ascii="Cambria Math" w:hAnsi="Cambria Math"/>
              </w:rPr>
            </m:ctrlPr>
          </m:sSubPr>
          <m:e>
            <m:r>
              <m:rPr>
                <m:sty m:val="p"/>
              </m:rPr>
              <w:rPr>
                <w:rFonts w:ascii="Cambria Math" w:hAnsi="Cambria Math"/>
              </w:rPr>
              <m:t>operating</m:t>
            </m:r>
          </m:e>
          <m:sub>
            <m:r>
              <w:rPr>
                <w:rFonts w:ascii="Cambria Math" w:hAnsi="Cambria Math"/>
              </w:rPr>
              <m:t>i,t</m:t>
            </m:r>
          </m:sub>
        </m:sSub>
      </m:oMath>
      <w:r>
        <w:rPr>
          <w:rFonts w:hint="eastAsia"/>
        </w:rPr>
        <w:t xml:space="preserve"> </w:t>
      </w:r>
      <w:r>
        <w:t xml:space="preserve">stands for operating margin; </w:t>
      </w:r>
      <m:oMath>
        <m:sSub>
          <m:sSubPr>
            <m:ctrlPr>
              <w:rPr>
                <w:rFonts w:ascii="Cambria Math" w:hAnsi="Cambria Math"/>
              </w:rPr>
            </m:ctrlPr>
          </m:sSubPr>
          <m:e>
            <m:r>
              <m:rPr>
                <m:sty m:val="p"/>
              </m:rPr>
              <w:rPr>
                <w:rFonts w:ascii="Cambria Math" w:hAnsi="Cambria Math"/>
              </w:rPr>
              <m:t>debttoassets</m:t>
            </m:r>
          </m:e>
          <m:sub>
            <m:r>
              <w:rPr>
                <w:rFonts w:ascii="Cambria Math" w:hAnsi="Cambria Math"/>
              </w:rPr>
              <m:t>i,t</m:t>
            </m:r>
          </m:sub>
        </m:sSub>
      </m:oMath>
      <w:r>
        <w:rPr>
          <w:rFonts w:hint="eastAsia"/>
        </w:rPr>
        <w:t xml:space="preserve"> </w:t>
      </w:r>
      <w:r>
        <w:t xml:space="preserve">stands for debt-to-assets ratio; </w:t>
      </w:r>
      <m:oMath>
        <m:sSub>
          <m:sSubPr>
            <m:ctrlPr>
              <w:rPr>
                <w:rFonts w:ascii="Cambria Math" w:hAnsi="Cambria Math"/>
              </w:rPr>
            </m:ctrlPr>
          </m:sSubPr>
          <m:e>
            <m:r>
              <m:rPr>
                <m:sty m:val="p"/>
              </m:rPr>
              <w:rPr>
                <w:rFonts w:ascii="Cambria Math" w:hAnsi="Cambria Math"/>
              </w:rPr>
              <m:t>postbrexit</m:t>
            </m:r>
          </m:e>
          <m:sub>
            <m:r>
              <w:rPr>
                <w:rFonts w:ascii="Cambria Math" w:hAnsi="Cambria Math"/>
              </w:rPr>
              <m:t>i,t</m:t>
            </m:r>
          </m:sub>
        </m:sSub>
      </m:oMath>
      <w:r>
        <w:rPr>
          <w:rFonts w:hint="eastAsia"/>
        </w:rPr>
        <w:t xml:space="preserve"> </w:t>
      </w:r>
      <w:r>
        <w:t xml:space="preserve">is the dummy variable which represents the period after or before the Brexit referendum (equals one when it’s 2017 or 2018, equals zero when it’s 2014-2016); </w:t>
      </w:r>
      <m:oMath>
        <m:sSub>
          <m:sSubPr>
            <m:ctrlPr>
              <w:rPr>
                <w:rFonts w:ascii="Cambria Math" w:hAnsi="Cambria Math"/>
              </w:rPr>
            </m:ctrlPr>
          </m:sSubPr>
          <m:e>
            <m:r>
              <m:rPr>
                <m:sty m:val="p"/>
              </m:rPr>
              <w:rPr>
                <w:rFonts w:ascii="Cambria Math" w:hAnsi="Cambria Math"/>
              </w:rPr>
              <m:t>treated</m:t>
            </m:r>
          </m:e>
          <m:sub>
            <m:r>
              <w:rPr>
                <w:rFonts w:ascii="Cambria Math" w:hAnsi="Cambria Math"/>
              </w:rPr>
              <m:t>i,t</m:t>
            </m:r>
          </m:sub>
        </m:sSub>
      </m:oMath>
      <w:r>
        <w:rPr>
          <w:rFonts w:hint="eastAsia"/>
        </w:rPr>
        <w:t xml:space="preserve"> </w:t>
      </w:r>
      <w:r>
        <w:t xml:space="preserve">is the dummy variable which illustrates the difference between UK companies and the France and Germany companies (equals one when it’s UK company, zero when France or Germany); </w:t>
      </w:r>
      <m:oMath>
        <m:sSub>
          <m:sSubPr>
            <m:ctrlPr>
              <w:rPr>
                <w:rFonts w:ascii="Cambria Math" w:hAnsi="Cambria Math"/>
              </w:rPr>
            </m:ctrlPr>
          </m:sSubPr>
          <m:e>
            <m:r>
              <m:rPr>
                <m:sty m:val="p"/>
              </m:rPr>
              <w:rPr>
                <w:rFonts w:ascii="Cambria Math" w:hAnsi="Cambria Math"/>
              </w:rPr>
              <m:t>postbrext</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treated</m:t>
            </m:r>
          </m:e>
          <m:sub>
            <m:r>
              <w:rPr>
                <w:rFonts w:ascii="Cambria Math" w:hAnsi="Cambria Math"/>
              </w:rPr>
              <m:t>i,t</m:t>
            </m:r>
          </m:sub>
        </m:sSub>
      </m:oMath>
      <w:r>
        <w:rPr>
          <w:rFonts w:hint="eastAsia"/>
        </w:rPr>
        <w:t xml:space="preserve"> </w:t>
      </w:r>
      <w:r>
        <w:t xml:space="preserve">is the </w:t>
      </w:r>
      <w:r w:rsidR="00B1158E">
        <w:t>interactive</w:t>
      </w:r>
      <w:r>
        <w:t xml:space="preserve"> term; </w:t>
      </w:r>
      <m:oMath>
        <m:sSub>
          <m:sSubPr>
            <m:ctrlPr>
              <w:rPr>
                <w:rFonts w:ascii="Cambria Math" w:hAnsi="Cambria Math"/>
              </w:rPr>
            </m:ctrlPr>
          </m:sSubPr>
          <m:e>
            <m:r>
              <w:rPr>
                <w:rFonts w:ascii="Cambria Math" w:hAnsi="Cambria Math"/>
              </w:rPr>
              <m:t>τ</m:t>
            </m:r>
          </m:e>
          <m:sub>
            <m:r>
              <w:rPr>
                <w:rFonts w:ascii="Cambria Math" w:hAnsi="Cambria Math"/>
              </w:rPr>
              <m:t>i</m:t>
            </m:r>
          </m:sub>
        </m:sSub>
      </m:oMath>
      <w:r>
        <w:rPr>
          <w:rFonts w:hint="eastAsia"/>
        </w:rPr>
        <w:t xml:space="preserve"> </w:t>
      </w:r>
      <w:r>
        <w:t xml:space="preserve">represents the fix effect; </w:t>
      </w:r>
      <m:oMath>
        <m:sSub>
          <m:sSubPr>
            <m:ctrlPr>
              <w:rPr>
                <w:rFonts w:ascii="Cambria Math" w:hAnsi="Cambria Math"/>
              </w:rPr>
            </m:ctrlPr>
          </m:sSubPr>
          <m:e>
            <m:r>
              <m:rPr>
                <m:sty m:val="p"/>
              </m:rPr>
              <w:rPr>
                <w:rFonts w:ascii="Cambria Math" w:hAnsi="Cambria Math"/>
              </w:rPr>
              <m:t>μ</m:t>
            </m:r>
          </m:e>
          <m:sub>
            <m:r>
              <w:rPr>
                <w:rFonts w:ascii="Cambria Math" w:hAnsi="Cambria Math"/>
              </w:rPr>
              <m:t>i,t</m:t>
            </m:r>
          </m:sub>
        </m:sSub>
      </m:oMath>
      <w:r>
        <w:rPr>
          <w:rFonts w:hint="eastAsia"/>
        </w:rPr>
        <w:t xml:space="preserve"> </w:t>
      </w:r>
      <w:r>
        <w:t>is the error term.</w:t>
      </w:r>
    </w:p>
    <w:p w14:paraId="1BBE8029" w14:textId="77777777" w:rsidR="00A8436F" w:rsidRDefault="00A8436F" w:rsidP="00A8436F"/>
    <w:tbl>
      <w:tblPr>
        <w:tblW w:w="6880" w:type="dxa"/>
        <w:jc w:val="center"/>
        <w:tblLook w:val="04A0" w:firstRow="1" w:lastRow="0" w:firstColumn="1" w:lastColumn="0" w:noHBand="0" w:noVBand="1"/>
      </w:tblPr>
      <w:tblGrid>
        <w:gridCol w:w="2080"/>
        <w:gridCol w:w="2420"/>
        <w:gridCol w:w="2380"/>
      </w:tblGrid>
      <w:tr w:rsidR="00A8436F" w:rsidRPr="00B64E51" w14:paraId="62EEA084" w14:textId="77777777" w:rsidTr="00267646">
        <w:trPr>
          <w:trHeight w:val="315"/>
          <w:jc w:val="center"/>
        </w:trPr>
        <w:tc>
          <w:tcPr>
            <w:tcW w:w="2080" w:type="dxa"/>
            <w:tcBorders>
              <w:top w:val="single" w:sz="4" w:space="0" w:color="auto"/>
              <w:left w:val="nil"/>
              <w:bottom w:val="single" w:sz="4" w:space="0" w:color="auto"/>
              <w:right w:val="nil"/>
            </w:tcBorders>
            <w:shd w:val="clear" w:color="auto" w:fill="auto"/>
            <w:noWrap/>
            <w:vAlign w:val="bottom"/>
            <w:hideMark/>
          </w:tcPr>
          <w:p w14:paraId="76475F69" w14:textId="77777777" w:rsidR="00A8436F" w:rsidRPr="00B64E51" w:rsidRDefault="00A8436F" w:rsidP="00A8436F">
            <w:pPr>
              <w:rPr>
                <w:rFonts w:eastAsia="SimSun"/>
                <w:lang w:val="en-US"/>
              </w:rPr>
            </w:pPr>
          </w:p>
        </w:tc>
        <w:tc>
          <w:tcPr>
            <w:tcW w:w="2420" w:type="dxa"/>
            <w:tcBorders>
              <w:top w:val="single" w:sz="4" w:space="0" w:color="auto"/>
              <w:left w:val="nil"/>
              <w:bottom w:val="single" w:sz="4" w:space="0" w:color="auto"/>
              <w:right w:val="nil"/>
            </w:tcBorders>
            <w:shd w:val="clear" w:color="auto" w:fill="auto"/>
            <w:noWrap/>
            <w:vAlign w:val="bottom"/>
            <w:hideMark/>
          </w:tcPr>
          <w:p w14:paraId="2B243A07" w14:textId="77777777" w:rsidR="00A8436F" w:rsidRPr="00B64E51" w:rsidRDefault="00A8436F" w:rsidP="00A8436F">
            <w:pPr>
              <w:jc w:val="center"/>
              <w:rPr>
                <w:rFonts w:eastAsia="DengXian"/>
                <w:color w:val="000000"/>
                <w:sz w:val="22"/>
                <w:lang w:val="en-US"/>
              </w:rPr>
            </w:pPr>
            <w:r w:rsidRPr="00B64E51">
              <w:rPr>
                <w:rFonts w:eastAsia="DengXian"/>
                <w:color w:val="000000"/>
                <w:sz w:val="22"/>
                <w:lang w:val="en-US"/>
              </w:rPr>
              <w:t>consumer discretionary</w:t>
            </w:r>
          </w:p>
        </w:tc>
        <w:tc>
          <w:tcPr>
            <w:tcW w:w="2380" w:type="dxa"/>
            <w:tcBorders>
              <w:top w:val="single" w:sz="4" w:space="0" w:color="auto"/>
              <w:left w:val="nil"/>
              <w:bottom w:val="single" w:sz="4" w:space="0" w:color="auto"/>
              <w:right w:val="nil"/>
            </w:tcBorders>
            <w:shd w:val="clear" w:color="auto" w:fill="auto"/>
            <w:noWrap/>
            <w:vAlign w:val="bottom"/>
            <w:hideMark/>
          </w:tcPr>
          <w:p w14:paraId="27D2F430" w14:textId="77777777" w:rsidR="00A8436F" w:rsidRPr="00B64E51" w:rsidRDefault="00A8436F" w:rsidP="00A8436F">
            <w:pPr>
              <w:jc w:val="center"/>
              <w:rPr>
                <w:rFonts w:eastAsia="DengXian"/>
                <w:color w:val="000000"/>
                <w:sz w:val="22"/>
                <w:lang w:val="en-US"/>
              </w:rPr>
            </w:pPr>
            <w:r w:rsidRPr="00B64E51">
              <w:rPr>
                <w:rFonts w:eastAsia="DengXian"/>
                <w:color w:val="000000"/>
                <w:sz w:val="22"/>
                <w:lang w:val="en-US"/>
              </w:rPr>
              <w:t>all-sector</w:t>
            </w:r>
          </w:p>
        </w:tc>
      </w:tr>
      <w:tr w:rsidR="00A8436F" w:rsidRPr="00B64E51" w14:paraId="08513CF9" w14:textId="77777777" w:rsidTr="00267646">
        <w:trPr>
          <w:trHeight w:val="315"/>
          <w:jc w:val="center"/>
        </w:trPr>
        <w:tc>
          <w:tcPr>
            <w:tcW w:w="2080" w:type="dxa"/>
            <w:tcBorders>
              <w:top w:val="single" w:sz="4" w:space="0" w:color="auto"/>
              <w:left w:val="nil"/>
              <w:bottom w:val="nil"/>
              <w:right w:val="nil"/>
            </w:tcBorders>
            <w:shd w:val="clear" w:color="auto" w:fill="auto"/>
            <w:noWrap/>
            <w:vAlign w:val="bottom"/>
            <w:hideMark/>
          </w:tcPr>
          <w:p w14:paraId="7790C1F0" w14:textId="77777777" w:rsidR="00A8436F" w:rsidRPr="00B64E51" w:rsidRDefault="00A8436F" w:rsidP="00A8436F">
            <w:pPr>
              <w:rPr>
                <w:rFonts w:eastAsia="DengXian"/>
                <w:color w:val="000000"/>
                <w:lang w:val="en-US"/>
              </w:rPr>
            </w:pPr>
            <w:r w:rsidRPr="00B64E51">
              <w:rPr>
                <w:rFonts w:eastAsia="DengXian"/>
                <w:color w:val="000000"/>
                <w:lang w:val="en-US"/>
              </w:rPr>
              <w:t>post_brexit</w:t>
            </w:r>
          </w:p>
        </w:tc>
        <w:tc>
          <w:tcPr>
            <w:tcW w:w="2420" w:type="dxa"/>
            <w:tcBorders>
              <w:top w:val="single" w:sz="4" w:space="0" w:color="auto"/>
              <w:left w:val="nil"/>
              <w:bottom w:val="nil"/>
              <w:right w:val="nil"/>
            </w:tcBorders>
            <w:shd w:val="clear" w:color="auto" w:fill="auto"/>
            <w:noWrap/>
            <w:vAlign w:val="bottom"/>
            <w:hideMark/>
          </w:tcPr>
          <w:p w14:paraId="076D1A2A" w14:textId="77777777" w:rsidR="00A8436F" w:rsidRPr="00B64E51" w:rsidRDefault="00A8436F" w:rsidP="00A8436F">
            <w:pPr>
              <w:jc w:val="center"/>
              <w:rPr>
                <w:rFonts w:eastAsia="DengXian"/>
                <w:color w:val="000000"/>
                <w:sz w:val="22"/>
                <w:vertAlign w:val="superscript"/>
                <w:lang w:val="en-US"/>
              </w:rPr>
            </w:pPr>
            <w:r w:rsidRPr="001B11C6">
              <w:rPr>
                <w:rFonts w:eastAsia="DengXian"/>
                <w:color w:val="000000"/>
                <w:sz w:val="22"/>
                <w:lang w:val="en-US"/>
              </w:rPr>
              <w:t>0.1850</w:t>
            </w:r>
            <w:r w:rsidRPr="001B11C6">
              <w:rPr>
                <w:rFonts w:eastAsia="DengXian"/>
                <w:color w:val="000000"/>
                <w:sz w:val="22"/>
                <w:vertAlign w:val="superscript"/>
                <w:lang w:val="en-US"/>
              </w:rPr>
              <w:t>**</w:t>
            </w:r>
          </w:p>
        </w:tc>
        <w:tc>
          <w:tcPr>
            <w:tcW w:w="2380" w:type="dxa"/>
            <w:tcBorders>
              <w:top w:val="single" w:sz="4" w:space="0" w:color="auto"/>
              <w:left w:val="nil"/>
              <w:bottom w:val="nil"/>
              <w:right w:val="nil"/>
            </w:tcBorders>
            <w:shd w:val="clear" w:color="auto" w:fill="auto"/>
            <w:noWrap/>
            <w:vAlign w:val="bottom"/>
            <w:hideMark/>
          </w:tcPr>
          <w:p w14:paraId="7F91680A" w14:textId="77777777" w:rsidR="00A8436F" w:rsidRPr="00B64E51" w:rsidRDefault="00A8436F" w:rsidP="00A8436F">
            <w:pPr>
              <w:jc w:val="center"/>
              <w:rPr>
                <w:rFonts w:eastAsia="DengXian"/>
                <w:color w:val="000000"/>
                <w:sz w:val="22"/>
                <w:vertAlign w:val="superscript"/>
                <w:lang w:val="en-US"/>
              </w:rPr>
            </w:pPr>
            <w:r w:rsidRPr="001B11C6">
              <w:rPr>
                <w:rFonts w:eastAsia="DengXian"/>
                <w:color w:val="000000"/>
                <w:sz w:val="22"/>
                <w:lang w:val="en-US"/>
              </w:rPr>
              <w:t>0.1871</w:t>
            </w:r>
            <w:r w:rsidRPr="001B11C6">
              <w:rPr>
                <w:rFonts w:eastAsia="DengXian"/>
                <w:color w:val="000000"/>
                <w:sz w:val="22"/>
                <w:vertAlign w:val="superscript"/>
                <w:lang w:val="en-US"/>
              </w:rPr>
              <w:t>***</w:t>
            </w:r>
          </w:p>
        </w:tc>
      </w:tr>
      <w:tr w:rsidR="00A8436F" w:rsidRPr="00B64E51" w14:paraId="59D5B24F" w14:textId="77777777" w:rsidTr="00267646">
        <w:trPr>
          <w:trHeight w:val="315"/>
          <w:jc w:val="center"/>
        </w:trPr>
        <w:tc>
          <w:tcPr>
            <w:tcW w:w="2080" w:type="dxa"/>
            <w:tcBorders>
              <w:top w:val="nil"/>
              <w:left w:val="nil"/>
              <w:right w:val="nil"/>
            </w:tcBorders>
            <w:shd w:val="clear" w:color="auto" w:fill="auto"/>
            <w:noWrap/>
            <w:vAlign w:val="bottom"/>
            <w:hideMark/>
          </w:tcPr>
          <w:p w14:paraId="2F9CE151" w14:textId="77777777" w:rsidR="00A8436F" w:rsidRPr="00B64E51" w:rsidRDefault="00A8436F" w:rsidP="00A8436F">
            <w:pPr>
              <w:rPr>
                <w:rFonts w:eastAsia="DengXian"/>
                <w:color w:val="000000"/>
                <w:lang w:val="en-US"/>
              </w:rPr>
            </w:pPr>
            <w:r w:rsidRPr="00B64E51">
              <w:rPr>
                <w:rFonts w:eastAsia="DengXian"/>
                <w:color w:val="000000"/>
                <w:lang w:val="en-US"/>
              </w:rPr>
              <w:t>treated</w:t>
            </w:r>
          </w:p>
        </w:tc>
        <w:tc>
          <w:tcPr>
            <w:tcW w:w="2420" w:type="dxa"/>
            <w:tcBorders>
              <w:top w:val="nil"/>
              <w:left w:val="nil"/>
              <w:right w:val="nil"/>
            </w:tcBorders>
            <w:shd w:val="clear" w:color="auto" w:fill="auto"/>
            <w:noWrap/>
            <w:vAlign w:val="bottom"/>
            <w:hideMark/>
          </w:tcPr>
          <w:p w14:paraId="307CB77E" w14:textId="77777777" w:rsidR="00A8436F" w:rsidRPr="00B64E51" w:rsidRDefault="00A8436F" w:rsidP="00A8436F">
            <w:pPr>
              <w:jc w:val="center"/>
              <w:rPr>
                <w:rFonts w:eastAsia="DengXian"/>
                <w:color w:val="000000"/>
                <w:sz w:val="22"/>
                <w:lang w:val="en-US"/>
              </w:rPr>
            </w:pPr>
            <w:r w:rsidRPr="001B11C6">
              <w:rPr>
                <w:rFonts w:eastAsia="DengXian"/>
                <w:color w:val="000000"/>
                <w:sz w:val="22"/>
                <w:lang w:val="en-US"/>
              </w:rPr>
              <w:t>-0.1149</w:t>
            </w:r>
          </w:p>
        </w:tc>
        <w:tc>
          <w:tcPr>
            <w:tcW w:w="2380" w:type="dxa"/>
            <w:tcBorders>
              <w:top w:val="nil"/>
              <w:left w:val="nil"/>
              <w:right w:val="nil"/>
            </w:tcBorders>
            <w:shd w:val="clear" w:color="auto" w:fill="auto"/>
            <w:noWrap/>
            <w:vAlign w:val="bottom"/>
            <w:hideMark/>
          </w:tcPr>
          <w:p w14:paraId="3B983929" w14:textId="77777777" w:rsidR="00A8436F" w:rsidRPr="00B64E51" w:rsidRDefault="00A8436F" w:rsidP="00A8436F">
            <w:pPr>
              <w:jc w:val="center"/>
              <w:rPr>
                <w:rFonts w:eastAsia="DengXian"/>
                <w:color w:val="000000"/>
                <w:sz w:val="22"/>
                <w:lang w:val="en-US"/>
              </w:rPr>
            </w:pPr>
            <w:r w:rsidRPr="001B11C6">
              <w:rPr>
                <w:rFonts w:eastAsia="DengXian"/>
                <w:color w:val="000000"/>
                <w:sz w:val="22"/>
                <w:lang w:val="en-US"/>
              </w:rPr>
              <w:t>-0.2732</w:t>
            </w:r>
          </w:p>
        </w:tc>
      </w:tr>
      <w:tr w:rsidR="00A8436F" w:rsidRPr="00B64E51" w14:paraId="6AB272E9" w14:textId="77777777" w:rsidTr="00267646">
        <w:trPr>
          <w:trHeight w:val="315"/>
          <w:jc w:val="center"/>
        </w:trPr>
        <w:tc>
          <w:tcPr>
            <w:tcW w:w="2080" w:type="dxa"/>
            <w:tcBorders>
              <w:top w:val="nil"/>
              <w:left w:val="nil"/>
              <w:bottom w:val="single" w:sz="4" w:space="0" w:color="auto"/>
              <w:right w:val="nil"/>
            </w:tcBorders>
            <w:shd w:val="clear" w:color="auto" w:fill="auto"/>
            <w:noWrap/>
            <w:vAlign w:val="bottom"/>
            <w:hideMark/>
          </w:tcPr>
          <w:p w14:paraId="7626676C" w14:textId="77777777" w:rsidR="00A8436F" w:rsidRPr="00B64E51" w:rsidRDefault="00A8436F" w:rsidP="00A8436F">
            <w:pPr>
              <w:rPr>
                <w:rFonts w:eastAsia="DengXian"/>
                <w:color w:val="000000"/>
                <w:lang w:val="en-US"/>
              </w:rPr>
            </w:pPr>
            <w:r w:rsidRPr="00B64E51">
              <w:rPr>
                <w:rFonts w:eastAsia="DengXian"/>
                <w:color w:val="000000"/>
                <w:lang w:val="en-US"/>
              </w:rPr>
              <w:t>post_brexit:treated</w:t>
            </w:r>
          </w:p>
        </w:tc>
        <w:tc>
          <w:tcPr>
            <w:tcW w:w="2420" w:type="dxa"/>
            <w:tcBorders>
              <w:top w:val="nil"/>
              <w:left w:val="nil"/>
              <w:bottom w:val="single" w:sz="4" w:space="0" w:color="auto"/>
              <w:right w:val="nil"/>
            </w:tcBorders>
            <w:shd w:val="clear" w:color="auto" w:fill="auto"/>
            <w:noWrap/>
            <w:vAlign w:val="bottom"/>
            <w:hideMark/>
          </w:tcPr>
          <w:p w14:paraId="3A5A9B90" w14:textId="77777777" w:rsidR="00A8436F" w:rsidRPr="00B64E51" w:rsidRDefault="00A8436F" w:rsidP="00A8436F">
            <w:pPr>
              <w:jc w:val="center"/>
              <w:rPr>
                <w:rFonts w:eastAsia="DengXian"/>
                <w:color w:val="000000"/>
                <w:sz w:val="22"/>
                <w:lang w:val="en-US"/>
              </w:rPr>
            </w:pPr>
            <w:r w:rsidRPr="001B11C6">
              <w:rPr>
                <w:rFonts w:eastAsia="DengXian"/>
                <w:color w:val="000000"/>
                <w:sz w:val="22"/>
                <w:lang w:val="en-US"/>
              </w:rPr>
              <w:t>-</w:t>
            </w:r>
            <w:r w:rsidRPr="00B64E51">
              <w:rPr>
                <w:rFonts w:eastAsia="DengXian"/>
                <w:color w:val="000000"/>
                <w:sz w:val="22"/>
                <w:lang w:val="en-US"/>
              </w:rPr>
              <w:t>0.2947</w:t>
            </w:r>
            <w:r w:rsidRPr="001B11C6">
              <w:rPr>
                <w:rFonts w:eastAsia="DengXian"/>
                <w:color w:val="000000"/>
                <w:sz w:val="22"/>
                <w:vertAlign w:val="superscript"/>
                <w:lang w:val="en-US"/>
              </w:rPr>
              <w:t>***</w:t>
            </w:r>
          </w:p>
        </w:tc>
        <w:tc>
          <w:tcPr>
            <w:tcW w:w="2380" w:type="dxa"/>
            <w:tcBorders>
              <w:top w:val="nil"/>
              <w:left w:val="nil"/>
              <w:bottom w:val="single" w:sz="4" w:space="0" w:color="auto"/>
              <w:right w:val="nil"/>
            </w:tcBorders>
            <w:shd w:val="clear" w:color="auto" w:fill="auto"/>
            <w:noWrap/>
            <w:vAlign w:val="bottom"/>
            <w:hideMark/>
          </w:tcPr>
          <w:p w14:paraId="410EAA92" w14:textId="77777777" w:rsidR="00A8436F" w:rsidRPr="00B64E51" w:rsidRDefault="00A8436F" w:rsidP="00A8436F">
            <w:pPr>
              <w:jc w:val="center"/>
              <w:rPr>
                <w:rFonts w:eastAsia="DengXian"/>
                <w:color w:val="000000"/>
                <w:sz w:val="22"/>
                <w:vertAlign w:val="superscript"/>
                <w:lang w:val="en-US"/>
              </w:rPr>
            </w:pPr>
            <w:r w:rsidRPr="001B11C6">
              <w:rPr>
                <w:rFonts w:eastAsia="DengXian"/>
                <w:color w:val="000000"/>
                <w:sz w:val="22"/>
                <w:lang w:val="en-US"/>
              </w:rPr>
              <w:t>-0.1060</w:t>
            </w:r>
            <w:r w:rsidRPr="001B11C6">
              <w:rPr>
                <w:rFonts w:eastAsia="DengXian"/>
                <w:color w:val="000000"/>
                <w:sz w:val="22"/>
                <w:vertAlign w:val="superscript"/>
                <w:lang w:val="en-US"/>
              </w:rPr>
              <w:t>**</w:t>
            </w:r>
          </w:p>
        </w:tc>
      </w:tr>
    </w:tbl>
    <w:p w14:paraId="5AEF469C" w14:textId="77777777" w:rsidR="00A8436F" w:rsidRPr="00285358" w:rsidRDefault="00A8436F" w:rsidP="00A8436F">
      <w:r w:rsidRPr="00285358">
        <w:rPr>
          <w:i/>
        </w:rPr>
        <w:t>Note.</w:t>
      </w:r>
      <w:r w:rsidRPr="00285358">
        <w:t xml:space="preserve"> * , ** and *** represent the statistical significance at 10%, 5% and 1% respectively.</w:t>
      </w:r>
    </w:p>
    <w:p w14:paraId="2874B314" w14:textId="77777777" w:rsidR="00A8436F" w:rsidRDefault="00A8436F" w:rsidP="00A8436F"/>
    <w:p w14:paraId="0AEE91E5" w14:textId="77777777" w:rsidR="00E845DF" w:rsidRDefault="00E845DF" w:rsidP="00E845DF">
      <w:r>
        <w:t xml:space="preserve">The all-sector regression and the regression including only consumer discretionary sector, show that the interactive term is significantly negative. However, results for other regressions didn’t show any significance for the interactive term. </w:t>
      </w:r>
    </w:p>
    <w:p w14:paraId="43DFD60C" w14:textId="5A440965" w:rsidR="00E845DF" w:rsidRPr="00E845DF" w:rsidRDefault="00E845DF" w:rsidP="00A8436F">
      <w:r>
        <w:t>In other words, companies in the UK after the Brexit referendum averagely performed worse than companies in European countries and the ex-referendum periods. The variable post_brexit is significantly positive for these two sets of regressions. This implies that companies have done better in three countries in 2017-2018 compared with 2015-2016 which may be led by the poor performance in 2016 and the later re-bounce in 2017. Nevertheless, when it comes to the UK, companies perform relatively worse than companies in France and Germany.</w:t>
      </w:r>
    </w:p>
    <w:p w14:paraId="1FCF0AAE" w14:textId="64D97F17" w:rsidR="00E845DF" w:rsidRDefault="00E845DF" w:rsidP="00A8436F"/>
    <w:p w14:paraId="794733B0" w14:textId="77777777" w:rsidR="00A8436F" w:rsidRDefault="00A8436F" w:rsidP="00A8436F"/>
    <w:p w14:paraId="1E284EE8" w14:textId="32621EE0" w:rsidR="00247115" w:rsidRPr="00A8436F" w:rsidRDefault="00393FAC" w:rsidP="00A8436F">
      <w:pPr>
        <w:jc w:val="center"/>
        <w:rPr>
          <w:sz w:val="32"/>
          <w:szCs w:val="32"/>
        </w:rPr>
      </w:pPr>
      <w:r w:rsidRPr="00A8436F">
        <w:rPr>
          <w:sz w:val="32"/>
          <w:szCs w:val="32"/>
        </w:rPr>
        <w:t>Conclusion:</w:t>
      </w:r>
    </w:p>
    <w:p w14:paraId="08E34BDB" w14:textId="43547AB1" w:rsidR="00B1158E" w:rsidRDefault="00B1158E" w:rsidP="00B1158E">
      <w:pPr>
        <w:ind w:firstLine="720"/>
      </w:pPr>
      <w:r>
        <w:t xml:space="preserve">To conclude, our analysis shows information into the aftermath of Brexit. However, there are some limitations as </w:t>
      </w:r>
      <w:r w:rsidRPr="00B1158E">
        <w:rPr>
          <w:color w:val="000000" w:themeColor="text1"/>
        </w:rPr>
        <w:t xml:space="preserve">the data does not include dynamic changes of the sterling, which fluctuated from 1.7 to 1.2 over the years 2014-2018, which would have </w:t>
      </w:r>
      <w:r w:rsidRPr="00B1158E">
        <w:rPr>
          <w:color w:val="000000" w:themeColor="text1"/>
        </w:rPr>
        <w:t>led</w:t>
      </w:r>
      <w:r w:rsidRPr="00B1158E">
        <w:rPr>
          <w:color w:val="000000" w:themeColor="text1"/>
        </w:rPr>
        <w:t xml:space="preserve"> to different(worse) results for the UK, compared to France and Germany. In addition to that, even though UK’s GDP growth slowed down, it is still early to summarize the impact of B</w:t>
      </w:r>
      <w:r>
        <w:t>rexit on the stock market, as it is not completely over; trade rules and UK-EU relations are still being discussed.</w:t>
      </w:r>
    </w:p>
    <w:p w14:paraId="692844E2" w14:textId="3EF11887" w:rsidR="00B62C04" w:rsidRDefault="00B62C04">
      <w:r>
        <w:br w:type="page"/>
      </w:r>
    </w:p>
    <w:p w14:paraId="11D85AC9" w14:textId="0BDB1A67" w:rsidR="005F23A8" w:rsidRDefault="00CD09C7" w:rsidP="00CD09C7">
      <w:pPr>
        <w:pStyle w:val="Heading1"/>
        <w:ind w:left="2880" w:firstLine="720"/>
      </w:pPr>
      <w:r>
        <w:lastRenderedPageBreak/>
        <w:t>Reference list</w:t>
      </w:r>
    </w:p>
    <w:p w14:paraId="654B611B" w14:textId="36BD61E2" w:rsidR="00A8436F" w:rsidRDefault="00A8436F" w:rsidP="00A8436F">
      <w:pPr>
        <w:pStyle w:val="NormalWeb"/>
        <w:numPr>
          <w:ilvl w:val="0"/>
          <w:numId w:val="1"/>
        </w:numPr>
        <w:spacing w:before="0" w:beforeAutospacing="0" w:after="0" w:afterAutospacing="0"/>
        <w:rPr>
          <w:color w:val="000000"/>
        </w:rPr>
      </w:pPr>
      <w:r>
        <w:rPr>
          <w:color w:val="000000"/>
        </w:rPr>
        <w:t>Barnes, Peter. “Brexit: What Happens Now?” </w:t>
      </w:r>
      <w:r>
        <w:rPr>
          <w:i/>
          <w:iCs/>
          <w:color w:val="000000"/>
        </w:rPr>
        <w:t>BBC News</w:t>
      </w:r>
      <w:r>
        <w:rPr>
          <w:color w:val="000000"/>
        </w:rPr>
        <w:t>, 30 Jan. 2019, www.bbc.co.uk/news/uk-politics-46393399.</w:t>
      </w:r>
    </w:p>
    <w:p w14:paraId="17D93EF9" w14:textId="58AC385C" w:rsidR="00A8436F" w:rsidRDefault="00A8436F" w:rsidP="00A8436F">
      <w:pPr>
        <w:pStyle w:val="NormalWeb"/>
        <w:numPr>
          <w:ilvl w:val="0"/>
          <w:numId w:val="1"/>
        </w:numPr>
        <w:spacing w:before="0" w:beforeAutospacing="0" w:after="0" w:afterAutospacing="0"/>
        <w:rPr>
          <w:color w:val="000000"/>
        </w:rPr>
      </w:pPr>
      <w:r>
        <w:rPr>
          <w:color w:val="000000"/>
        </w:rPr>
        <w:t>Breinlich, Holger, et al. </w:t>
      </w:r>
      <w:r>
        <w:rPr>
          <w:i/>
          <w:iCs/>
          <w:color w:val="000000"/>
        </w:rPr>
        <w:t>The Economic Effects of Brexit - Evidence from the Stock Market</w:t>
      </w:r>
      <w:r>
        <w:rPr>
          <w:color w:val="000000"/>
        </w:rPr>
        <w:t>. 1 Aug. 2018.</w:t>
      </w:r>
    </w:p>
    <w:p w14:paraId="04519B18" w14:textId="55859EFD" w:rsidR="00A8436F" w:rsidRDefault="00A8436F" w:rsidP="00A8436F">
      <w:pPr>
        <w:pStyle w:val="NormalWeb"/>
        <w:numPr>
          <w:ilvl w:val="0"/>
          <w:numId w:val="1"/>
        </w:numPr>
        <w:spacing w:before="0" w:beforeAutospacing="0" w:after="0" w:afterAutospacing="0"/>
        <w:rPr>
          <w:color w:val="000000"/>
        </w:rPr>
      </w:pPr>
      <w:r>
        <w:rPr>
          <w:color w:val="000000"/>
        </w:rPr>
        <w:t>Dombey, Daniel, and Robin Kwong. “What Is Brexit and Why Is the EU Referendum Being Held?” </w:t>
      </w:r>
      <w:r>
        <w:rPr>
          <w:i/>
          <w:iCs/>
          <w:color w:val="000000"/>
        </w:rPr>
        <w:t>Www.Ft.com</w:t>
      </w:r>
      <w:r>
        <w:rPr>
          <w:color w:val="000000"/>
        </w:rPr>
        <w:t>, 19 Feb. 2016, www.ft.com/content/a23ce766-d0ed-11e5-831d-09f7778e7377. Accessed 11 Nov. 2020.</w:t>
      </w:r>
    </w:p>
    <w:p w14:paraId="25FD057D" w14:textId="1F812B6D" w:rsidR="00A8436F" w:rsidRDefault="00A8436F" w:rsidP="00A8436F">
      <w:pPr>
        <w:pStyle w:val="NormalWeb"/>
        <w:numPr>
          <w:ilvl w:val="0"/>
          <w:numId w:val="1"/>
        </w:numPr>
        <w:spacing w:before="0" w:beforeAutospacing="0" w:after="0" w:afterAutospacing="0"/>
        <w:rPr>
          <w:color w:val="000000"/>
        </w:rPr>
      </w:pPr>
      <w:r>
        <w:rPr>
          <w:color w:val="000000"/>
        </w:rPr>
        <w:t>(IAN TROY PRE-PRESS) (The Economist). </w:t>
      </w:r>
      <w:r>
        <w:rPr>
          <w:i/>
          <w:iCs/>
          <w:color w:val="000000"/>
        </w:rPr>
        <w:t>The Brexit Briefs</w:t>
      </w:r>
      <w:r>
        <w:rPr>
          <w:color w:val="000000"/>
        </w:rPr>
        <w:t>. 2016.</w:t>
      </w:r>
    </w:p>
    <w:p w14:paraId="76C863B3" w14:textId="5A6C24ED" w:rsidR="00A8436F" w:rsidRDefault="00A8436F" w:rsidP="00A8436F">
      <w:pPr>
        <w:pStyle w:val="NormalWeb"/>
        <w:numPr>
          <w:ilvl w:val="0"/>
          <w:numId w:val="1"/>
        </w:numPr>
        <w:spacing w:before="0" w:beforeAutospacing="0" w:after="0" w:afterAutospacing="0"/>
        <w:rPr>
          <w:color w:val="000000"/>
          <w:lang w:val="de-DE"/>
        </w:rPr>
      </w:pPr>
      <w:r>
        <w:rPr>
          <w:color w:val="000000"/>
        </w:rPr>
        <w:t>IG. “Pros and Cons of Brexit.” </w:t>
      </w:r>
      <w:r w:rsidRPr="00A8436F">
        <w:rPr>
          <w:i/>
          <w:iCs/>
          <w:color w:val="000000"/>
          <w:lang w:val="de-DE"/>
        </w:rPr>
        <w:t>IG</w:t>
      </w:r>
      <w:r w:rsidRPr="00A8436F">
        <w:rPr>
          <w:color w:val="000000"/>
          <w:lang w:val="de-DE"/>
        </w:rPr>
        <w:t xml:space="preserve">, 2017, </w:t>
      </w:r>
      <w:hyperlink r:id="rId12" w:history="1">
        <w:r w:rsidRPr="004123E3">
          <w:rPr>
            <w:rStyle w:val="Hyperlink"/>
            <w:lang w:val="de-DE"/>
          </w:rPr>
          <w:t>www.ig.com/uk/financial-events/brexit/pros-and-cons-of-brexit</w:t>
        </w:r>
      </w:hyperlink>
      <w:r w:rsidRPr="00A8436F">
        <w:rPr>
          <w:color w:val="000000"/>
          <w:lang w:val="de-DE"/>
        </w:rPr>
        <w:t>.</w:t>
      </w:r>
    </w:p>
    <w:p w14:paraId="00A5BB53" w14:textId="374DB25F" w:rsidR="00A8436F" w:rsidRPr="00817F28" w:rsidRDefault="00A8436F" w:rsidP="00A8436F">
      <w:pPr>
        <w:pStyle w:val="NormalWeb"/>
        <w:numPr>
          <w:ilvl w:val="0"/>
          <w:numId w:val="1"/>
        </w:numPr>
        <w:spacing w:before="0" w:beforeAutospacing="0" w:after="0" w:afterAutospacing="0"/>
        <w:rPr>
          <w:color w:val="000000"/>
        </w:rPr>
      </w:pPr>
      <w:r>
        <w:rPr>
          <w:color w:val="000000"/>
        </w:rPr>
        <w:t>Rowena Mason Deputy political. “Theresa May’s Conservative Party Conference Speech – Key Points Analysed.” </w:t>
      </w:r>
      <w:r>
        <w:rPr>
          <w:i/>
          <w:iCs/>
          <w:color w:val="000000"/>
        </w:rPr>
        <w:t>The Guardian</w:t>
      </w:r>
      <w:r>
        <w:rPr>
          <w:color w:val="000000"/>
        </w:rPr>
        <w:t>, 5 Oct. 2016, www.theguardian.com/politics/2016/oct/05/mays-conservative-party-conference-speech-key-points-analysed. Accessed 11 Nov. 2020.</w:t>
      </w:r>
    </w:p>
    <w:p w14:paraId="496006A8" w14:textId="5C2A7EB2" w:rsidR="001430A2" w:rsidRPr="005F23A8" w:rsidRDefault="001430A2" w:rsidP="00A8436F"/>
    <w:sectPr w:rsidR="001430A2" w:rsidRPr="005F23A8" w:rsidSect="00640675">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521B9" w14:textId="77777777" w:rsidR="003C3603" w:rsidRDefault="003C3603" w:rsidP="00A765E3">
      <w:r>
        <w:separator/>
      </w:r>
    </w:p>
  </w:endnote>
  <w:endnote w:type="continuationSeparator" w:id="0">
    <w:p w14:paraId="03234C9E" w14:textId="77777777" w:rsidR="003C3603" w:rsidRDefault="003C3603"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DC5E2" w14:textId="77777777" w:rsidR="003C3603" w:rsidRDefault="003C3603" w:rsidP="00A765E3">
      <w:r>
        <w:separator/>
      </w:r>
    </w:p>
  </w:footnote>
  <w:footnote w:type="continuationSeparator" w:id="0">
    <w:p w14:paraId="10183652" w14:textId="77777777" w:rsidR="003C3603" w:rsidRDefault="003C3603" w:rsidP="00A76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54ABC"/>
    <w:multiLevelType w:val="hybridMultilevel"/>
    <w:tmpl w:val="1CDEB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631"/>
    <w:rsid w:val="00035F09"/>
    <w:rsid w:val="000364C6"/>
    <w:rsid w:val="00036AAC"/>
    <w:rsid w:val="00036AFE"/>
    <w:rsid w:val="00037185"/>
    <w:rsid w:val="0004711C"/>
    <w:rsid w:val="00050784"/>
    <w:rsid w:val="00050F68"/>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4655"/>
    <w:rsid w:val="000F5935"/>
    <w:rsid w:val="000F6858"/>
    <w:rsid w:val="000F6B22"/>
    <w:rsid w:val="000F6B4A"/>
    <w:rsid w:val="000F7FA4"/>
    <w:rsid w:val="001009B3"/>
    <w:rsid w:val="001035EB"/>
    <w:rsid w:val="00103E4D"/>
    <w:rsid w:val="00105237"/>
    <w:rsid w:val="001166C8"/>
    <w:rsid w:val="00117781"/>
    <w:rsid w:val="00117B08"/>
    <w:rsid w:val="00120818"/>
    <w:rsid w:val="001235CD"/>
    <w:rsid w:val="0013063B"/>
    <w:rsid w:val="00132CF3"/>
    <w:rsid w:val="00141CA5"/>
    <w:rsid w:val="00142A86"/>
    <w:rsid w:val="001430A2"/>
    <w:rsid w:val="00144D78"/>
    <w:rsid w:val="00145319"/>
    <w:rsid w:val="00147CBF"/>
    <w:rsid w:val="00147E25"/>
    <w:rsid w:val="00150DDB"/>
    <w:rsid w:val="00151ABD"/>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A2AC3"/>
    <w:rsid w:val="001A353E"/>
    <w:rsid w:val="001A4F0F"/>
    <w:rsid w:val="001A585F"/>
    <w:rsid w:val="001B3DF8"/>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F11"/>
    <w:rsid w:val="00220978"/>
    <w:rsid w:val="00221DFB"/>
    <w:rsid w:val="00221F8C"/>
    <w:rsid w:val="0022592B"/>
    <w:rsid w:val="00225DE4"/>
    <w:rsid w:val="00225F6A"/>
    <w:rsid w:val="00231425"/>
    <w:rsid w:val="0023448F"/>
    <w:rsid w:val="0023460C"/>
    <w:rsid w:val="00234BE4"/>
    <w:rsid w:val="002355F3"/>
    <w:rsid w:val="00237512"/>
    <w:rsid w:val="0024542A"/>
    <w:rsid w:val="00247115"/>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9E7"/>
    <w:rsid w:val="00333F50"/>
    <w:rsid w:val="00335B05"/>
    <w:rsid w:val="00336634"/>
    <w:rsid w:val="00340909"/>
    <w:rsid w:val="00344BD7"/>
    <w:rsid w:val="003453FF"/>
    <w:rsid w:val="003518DA"/>
    <w:rsid w:val="00351EE1"/>
    <w:rsid w:val="003567DD"/>
    <w:rsid w:val="00357421"/>
    <w:rsid w:val="003637C4"/>
    <w:rsid w:val="00364AD6"/>
    <w:rsid w:val="00372390"/>
    <w:rsid w:val="00374C86"/>
    <w:rsid w:val="00374F91"/>
    <w:rsid w:val="00377E69"/>
    <w:rsid w:val="00383A94"/>
    <w:rsid w:val="003851C6"/>
    <w:rsid w:val="00385699"/>
    <w:rsid w:val="00390B66"/>
    <w:rsid w:val="00392A50"/>
    <w:rsid w:val="00393D3D"/>
    <w:rsid w:val="00393FAC"/>
    <w:rsid w:val="003A249B"/>
    <w:rsid w:val="003A2950"/>
    <w:rsid w:val="003A2AE3"/>
    <w:rsid w:val="003A2E37"/>
    <w:rsid w:val="003A5257"/>
    <w:rsid w:val="003A5C42"/>
    <w:rsid w:val="003A7549"/>
    <w:rsid w:val="003A762C"/>
    <w:rsid w:val="003B1426"/>
    <w:rsid w:val="003B5B5B"/>
    <w:rsid w:val="003B7612"/>
    <w:rsid w:val="003C2FE3"/>
    <w:rsid w:val="003C360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5E2A"/>
    <w:rsid w:val="00406E56"/>
    <w:rsid w:val="004078FD"/>
    <w:rsid w:val="004123F7"/>
    <w:rsid w:val="00412503"/>
    <w:rsid w:val="0041453F"/>
    <w:rsid w:val="00417491"/>
    <w:rsid w:val="00417868"/>
    <w:rsid w:val="00427A1D"/>
    <w:rsid w:val="0043111F"/>
    <w:rsid w:val="00431766"/>
    <w:rsid w:val="00432D4D"/>
    <w:rsid w:val="004358C1"/>
    <w:rsid w:val="00442DF6"/>
    <w:rsid w:val="00445AFD"/>
    <w:rsid w:val="00450933"/>
    <w:rsid w:val="004511EF"/>
    <w:rsid w:val="00456117"/>
    <w:rsid w:val="004561CF"/>
    <w:rsid w:val="0046131E"/>
    <w:rsid w:val="00467DE7"/>
    <w:rsid w:val="004714AF"/>
    <w:rsid w:val="00475ED6"/>
    <w:rsid w:val="00480520"/>
    <w:rsid w:val="00480B48"/>
    <w:rsid w:val="004827F8"/>
    <w:rsid w:val="00483414"/>
    <w:rsid w:val="004866DB"/>
    <w:rsid w:val="00487BF0"/>
    <w:rsid w:val="00487C5D"/>
    <w:rsid w:val="004942C8"/>
    <w:rsid w:val="004945E6"/>
    <w:rsid w:val="00495BEF"/>
    <w:rsid w:val="004A0D6E"/>
    <w:rsid w:val="004B2290"/>
    <w:rsid w:val="004C0533"/>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96B88"/>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D70C6"/>
    <w:rsid w:val="005E1630"/>
    <w:rsid w:val="005E2E94"/>
    <w:rsid w:val="005E38B0"/>
    <w:rsid w:val="005E4387"/>
    <w:rsid w:val="005E4BDE"/>
    <w:rsid w:val="005E4D95"/>
    <w:rsid w:val="005E6953"/>
    <w:rsid w:val="005F1AF3"/>
    <w:rsid w:val="005F23A8"/>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3F8B"/>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E7B0A"/>
    <w:rsid w:val="006F03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17F28"/>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5B9A"/>
    <w:rsid w:val="008B6D08"/>
    <w:rsid w:val="008C3976"/>
    <w:rsid w:val="008C42DB"/>
    <w:rsid w:val="008D06DD"/>
    <w:rsid w:val="008D7865"/>
    <w:rsid w:val="008E0D1D"/>
    <w:rsid w:val="008E1C42"/>
    <w:rsid w:val="008E26CB"/>
    <w:rsid w:val="008E5316"/>
    <w:rsid w:val="008E573B"/>
    <w:rsid w:val="008E6E5F"/>
    <w:rsid w:val="008E797D"/>
    <w:rsid w:val="008E7AAE"/>
    <w:rsid w:val="008F0B8D"/>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A7A"/>
    <w:rsid w:val="00944C1A"/>
    <w:rsid w:val="009464CA"/>
    <w:rsid w:val="00952D00"/>
    <w:rsid w:val="0095341C"/>
    <w:rsid w:val="00957FBA"/>
    <w:rsid w:val="0096076D"/>
    <w:rsid w:val="00961622"/>
    <w:rsid w:val="009666B3"/>
    <w:rsid w:val="00970601"/>
    <w:rsid w:val="00970741"/>
    <w:rsid w:val="009717F2"/>
    <w:rsid w:val="0097340A"/>
    <w:rsid w:val="00974435"/>
    <w:rsid w:val="00974969"/>
    <w:rsid w:val="00977571"/>
    <w:rsid w:val="009808DC"/>
    <w:rsid w:val="00982789"/>
    <w:rsid w:val="00982C9F"/>
    <w:rsid w:val="00983747"/>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053"/>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436F"/>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158E"/>
    <w:rsid w:val="00B12AC3"/>
    <w:rsid w:val="00B23A05"/>
    <w:rsid w:val="00B30AB8"/>
    <w:rsid w:val="00B323A9"/>
    <w:rsid w:val="00B32B83"/>
    <w:rsid w:val="00B3548D"/>
    <w:rsid w:val="00B35A0B"/>
    <w:rsid w:val="00B37C71"/>
    <w:rsid w:val="00B4303F"/>
    <w:rsid w:val="00B45BF9"/>
    <w:rsid w:val="00B45E16"/>
    <w:rsid w:val="00B4727A"/>
    <w:rsid w:val="00B505C9"/>
    <w:rsid w:val="00B5520A"/>
    <w:rsid w:val="00B56AB8"/>
    <w:rsid w:val="00B62C04"/>
    <w:rsid w:val="00B64FBC"/>
    <w:rsid w:val="00B70750"/>
    <w:rsid w:val="00B72121"/>
    <w:rsid w:val="00B7538F"/>
    <w:rsid w:val="00B7661F"/>
    <w:rsid w:val="00B823D1"/>
    <w:rsid w:val="00B83197"/>
    <w:rsid w:val="00B8376B"/>
    <w:rsid w:val="00B83D7F"/>
    <w:rsid w:val="00B860A6"/>
    <w:rsid w:val="00B86A44"/>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291D"/>
    <w:rsid w:val="00C151A0"/>
    <w:rsid w:val="00C169FE"/>
    <w:rsid w:val="00C178B8"/>
    <w:rsid w:val="00C20622"/>
    <w:rsid w:val="00C214B3"/>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7D3"/>
    <w:rsid w:val="00CB6146"/>
    <w:rsid w:val="00CC03D5"/>
    <w:rsid w:val="00CC1289"/>
    <w:rsid w:val="00CC149F"/>
    <w:rsid w:val="00CC2032"/>
    <w:rsid w:val="00CC275E"/>
    <w:rsid w:val="00CC3F82"/>
    <w:rsid w:val="00CD09C7"/>
    <w:rsid w:val="00CD0BFB"/>
    <w:rsid w:val="00CD226A"/>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52617"/>
    <w:rsid w:val="00D5295B"/>
    <w:rsid w:val="00D5353B"/>
    <w:rsid w:val="00D552E6"/>
    <w:rsid w:val="00D57D0C"/>
    <w:rsid w:val="00D606D1"/>
    <w:rsid w:val="00D64AFF"/>
    <w:rsid w:val="00D67E7D"/>
    <w:rsid w:val="00D75AC4"/>
    <w:rsid w:val="00D75E6D"/>
    <w:rsid w:val="00D77657"/>
    <w:rsid w:val="00D81200"/>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E019EB"/>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2ABE"/>
    <w:rsid w:val="00E845DF"/>
    <w:rsid w:val="00E84A3A"/>
    <w:rsid w:val="00E95408"/>
    <w:rsid w:val="00E96237"/>
    <w:rsid w:val="00EA21F7"/>
    <w:rsid w:val="00EA2478"/>
    <w:rsid w:val="00EA5109"/>
    <w:rsid w:val="00EA736F"/>
    <w:rsid w:val="00EB1464"/>
    <w:rsid w:val="00EB2423"/>
    <w:rsid w:val="00EB2902"/>
    <w:rsid w:val="00EB4EFF"/>
    <w:rsid w:val="00EB542E"/>
    <w:rsid w:val="00EB670A"/>
    <w:rsid w:val="00ED2C92"/>
    <w:rsid w:val="00EE1EEE"/>
    <w:rsid w:val="00EE31A7"/>
    <w:rsid w:val="00EE5735"/>
    <w:rsid w:val="00EF1B0A"/>
    <w:rsid w:val="00EF5296"/>
    <w:rsid w:val="00EF6F94"/>
    <w:rsid w:val="00F00226"/>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66C2"/>
    <w:rsid w:val="00F673C7"/>
    <w:rsid w:val="00F7507A"/>
    <w:rsid w:val="00F756D3"/>
    <w:rsid w:val="00F76197"/>
    <w:rsid w:val="00F82442"/>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F0309"/>
    <w:rsid w:val="00FF2858"/>
    <w:rsid w:val="00FF3AA5"/>
    <w:rsid w:val="00FF46E8"/>
    <w:rsid w:val="00FF6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57B0A"/>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paragraph" w:styleId="Heading1">
    <w:name w:val="heading 1"/>
    <w:basedOn w:val="Normal"/>
    <w:next w:val="Normal"/>
    <w:link w:val="Heading1Char"/>
    <w:qFormat/>
    <w:rsid w:val="005F23A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A765E3"/>
    <w:pPr>
      <w:tabs>
        <w:tab w:val="center" w:pos="4513"/>
        <w:tab w:val="right" w:pos="9026"/>
      </w:tabs>
    </w:pPr>
  </w:style>
  <w:style w:type="character" w:customStyle="1" w:styleId="HeaderChar">
    <w:name w:val="Header Char"/>
    <w:basedOn w:val="DefaultParagraphFont"/>
    <w:link w:val="Header"/>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 w:type="character" w:customStyle="1" w:styleId="Heading1Char">
    <w:name w:val="Heading 1 Char"/>
    <w:basedOn w:val="DefaultParagraphFont"/>
    <w:link w:val="Heading1"/>
    <w:rsid w:val="005F23A8"/>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nhideWhenUsed/>
    <w:rsid w:val="005F23A8"/>
    <w:rPr>
      <w:color w:val="0000FF" w:themeColor="hyperlink"/>
      <w:u w:val="single"/>
    </w:rPr>
  </w:style>
  <w:style w:type="character" w:customStyle="1" w:styleId="UnresolvedMention1">
    <w:name w:val="Unresolved Mention1"/>
    <w:basedOn w:val="DefaultParagraphFont"/>
    <w:uiPriority w:val="99"/>
    <w:semiHidden/>
    <w:unhideWhenUsed/>
    <w:rsid w:val="005F23A8"/>
    <w:rPr>
      <w:color w:val="605E5C"/>
      <w:shd w:val="clear" w:color="auto" w:fill="E1DFDD"/>
    </w:rPr>
  </w:style>
  <w:style w:type="character" w:styleId="CommentReference">
    <w:name w:val="annotation reference"/>
    <w:basedOn w:val="DefaultParagraphFont"/>
    <w:semiHidden/>
    <w:unhideWhenUsed/>
    <w:rsid w:val="00247115"/>
    <w:rPr>
      <w:sz w:val="16"/>
      <w:szCs w:val="16"/>
    </w:rPr>
  </w:style>
  <w:style w:type="paragraph" w:styleId="CommentText">
    <w:name w:val="annotation text"/>
    <w:basedOn w:val="Normal"/>
    <w:link w:val="CommentTextChar"/>
    <w:semiHidden/>
    <w:unhideWhenUsed/>
    <w:rsid w:val="00247115"/>
    <w:rPr>
      <w:sz w:val="20"/>
      <w:szCs w:val="20"/>
    </w:rPr>
  </w:style>
  <w:style w:type="character" w:customStyle="1" w:styleId="CommentTextChar">
    <w:name w:val="Comment Text Char"/>
    <w:basedOn w:val="DefaultParagraphFont"/>
    <w:link w:val="CommentText"/>
    <w:semiHidden/>
    <w:rsid w:val="00247115"/>
  </w:style>
  <w:style w:type="paragraph" w:styleId="CommentSubject">
    <w:name w:val="annotation subject"/>
    <w:basedOn w:val="CommentText"/>
    <w:next w:val="CommentText"/>
    <w:link w:val="CommentSubjectChar"/>
    <w:semiHidden/>
    <w:unhideWhenUsed/>
    <w:rsid w:val="00247115"/>
    <w:rPr>
      <w:b/>
      <w:bCs/>
    </w:rPr>
  </w:style>
  <w:style w:type="character" w:customStyle="1" w:styleId="CommentSubjectChar">
    <w:name w:val="Comment Subject Char"/>
    <w:basedOn w:val="CommentTextChar"/>
    <w:link w:val="CommentSubject"/>
    <w:semiHidden/>
    <w:rsid w:val="00247115"/>
    <w:rPr>
      <w:b/>
      <w:bCs/>
    </w:rPr>
  </w:style>
  <w:style w:type="paragraph" w:styleId="NormalWeb">
    <w:name w:val="Normal (Web)"/>
    <w:basedOn w:val="Normal"/>
    <w:uiPriority w:val="99"/>
    <w:semiHidden/>
    <w:unhideWhenUsed/>
    <w:rsid w:val="00A8436F"/>
    <w:pPr>
      <w:spacing w:before="100" w:beforeAutospacing="1" w:after="100" w:afterAutospacing="1"/>
    </w:pPr>
    <w:rPr>
      <w:lang w:val="en-US" w:eastAsia="en-US"/>
    </w:rPr>
  </w:style>
  <w:style w:type="character" w:styleId="UnresolvedMention">
    <w:name w:val="Unresolved Mention"/>
    <w:basedOn w:val="DefaultParagraphFont"/>
    <w:uiPriority w:val="99"/>
    <w:semiHidden/>
    <w:unhideWhenUsed/>
    <w:rsid w:val="00A84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754261">
      <w:bodyDiv w:val="1"/>
      <w:marLeft w:val="0"/>
      <w:marRight w:val="0"/>
      <w:marTop w:val="0"/>
      <w:marBottom w:val="0"/>
      <w:divBdr>
        <w:top w:val="none" w:sz="0" w:space="0" w:color="auto"/>
        <w:left w:val="none" w:sz="0" w:space="0" w:color="auto"/>
        <w:bottom w:val="none" w:sz="0" w:space="0" w:color="auto"/>
        <w:right w:val="none" w:sz="0" w:space="0" w:color="auto"/>
      </w:divBdr>
    </w:div>
    <w:div w:id="1153377137">
      <w:bodyDiv w:val="1"/>
      <w:marLeft w:val="0"/>
      <w:marRight w:val="0"/>
      <w:marTop w:val="0"/>
      <w:marBottom w:val="0"/>
      <w:divBdr>
        <w:top w:val="none" w:sz="0" w:space="0" w:color="auto"/>
        <w:left w:val="none" w:sz="0" w:space="0" w:color="auto"/>
        <w:bottom w:val="none" w:sz="0" w:space="0" w:color="auto"/>
        <w:right w:val="none" w:sz="0" w:space="0" w:color="auto"/>
      </w:divBdr>
    </w:div>
    <w:div w:id="125655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g.com/uk/financial-events/brexit/pros-and-cons-of-brex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Булат Фаррахов</cp:lastModifiedBy>
  <cp:revision>3</cp:revision>
  <cp:lastPrinted>2020-11-11T15:06:00Z</cp:lastPrinted>
  <dcterms:created xsi:type="dcterms:W3CDTF">2020-11-11T15:05:00Z</dcterms:created>
  <dcterms:modified xsi:type="dcterms:W3CDTF">2020-11-11T15:17:00Z</dcterms:modified>
</cp:coreProperties>
</file>