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rFonts w:ascii="Verdana" w:cs="Verdana" w:eastAsia="Verdana" w:hAnsi="Verdana"/>
          <w:b w:val="1"/>
          <w:bCs w:val="1"/>
          <w:color w:val="1d1c1d"/>
          <w:sz w:val="20"/>
          <w:szCs w:val="20"/>
        </w:rPr>
      </w:pPr>
      <w:r w:rsidDel="00000000" w:rsidR="00000000" w:rsidRPr="00000000">
        <w:rPr>
          <w:rFonts w:ascii="Verdana" w:cs="Verdana" w:eastAsia="Verdana" w:hAnsi="Verdana"/>
          <w:b w:val="1"/>
          <w:bCs w:val="1"/>
          <w:color w:val="1d1c1d"/>
          <w:sz w:val="20"/>
          <w:szCs w:val="20"/>
          <w:rtl w:val="0"/>
        </w:rPr>
        <w:t xml:space="preserve">Task 1: Accessibility Test Strategy using Chain-of-Thought Approach</w:t>
      </w:r>
    </w:p>
    <w:p w:rsidR="00000000" w:rsidDel="00000000" w:rsidP="00000000" w:rsidRDefault="00000000" w:rsidRPr="00000000" w14:paraId="00000002">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Chat Model Used:</w:t>
      </w:r>
      <w:r w:rsidDel="00000000" w:rsidR="00000000" w:rsidRPr="00000000">
        <w:rPr>
          <w:rFonts w:ascii="Verdana" w:cs="Verdana" w:eastAsia="Verdana" w:hAnsi="Verdana"/>
          <w:color w:val="1d1c1d"/>
          <w:sz w:val="20"/>
          <w:szCs w:val="20"/>
          <w:rtl w:val="0"/>
        </w:rPr>
        <w:t xml:space="preserve"> ChatGPT</w:t>
      </w:r>
    </w:p>
    <w:p w:rsidR="00000000" w:rsidDel="00000000" w:rsidP="00000000" w:rsidRDefault="00000000" w:rsidRPr="00000000" w14:paraId="00000003">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Domain:</w:t>
      </w:r>
      <w:r w:rsidDel="00000000" w:rsidR="00000000" w:rsidRPr="00000000">
        <w:rPr>
          <w:rFonts w:ascii="Verdana" w:cs="Verdana" w:eastAsia="Verdana" w:hAnsi="Verdana"/>
          <w:color w:val="1d1c1d"/>
          <w:sz w:val="20"/>
          <w:szCs w:val="20"/>
          <w:rtl w:val="0"/>
        </w:rPr>
        <w:t xml:space="preserve"> Child Care Application</w:t>
      </w:r>
    </w:p>
    <w:p w:rsidR="00000000" w:rsidDel="00000000" w:rsidP="00000000" w:rsidRDefault="00000000" w:rsidRPr="00000000" w14:paraId="00000004">
      <w:pPr>
        <w:spacing w:after="60" w:before="60" w:lineRule="auto"/>
        <w:rPr>
          <w:rFonts w:ascii="Verdana" w:cs="Verdana" w:eastAsia="Verdana" w:hAnsi="Verdana"/>
          <w:color w:val="1d1c1d"/>
          <w:sz w:val="20"/>
          <w:szCs w:val="20"/>
        </w:rPr>
      </w:pPr>
      <w:r w:rsidDel="00000000" w:rsidR="00000000" w:rsidRPr="00000000">
        <w:rPr>
          <w:rtl w:val="0"/>
        </w:rPr>
      </w:r>
    </w:p>
    <w:p w:rsidR="00000000" w:rsidDel="00000000" w:rsidP="00000000" w:rsidRDefault="00000000" w:rsidRPr="00000000" w14:paraId="00000005">
      <w:pPr>
        <w:spacing w:after="60" w:before="60" w:lineRule="auto"/>
        <w:rPr>
          <w:rFonts w:ascii="Verdana" w:cs="Verdana" w:eastAsia="Verdana" w:hAnsi="Verdana"/>
          <w:b w:val="1"/>
          <w:bCs w:val="1"/>
          <w:color w:val="1d1c1d"/>
          <w:sz w:val="20"/>
          <w:szCs w:val="20"/>
        </w:rPr>
      </w:pPr>
      <w:r w:rsidDel="00000000" w:rsidR="00000000" w:rsidRPr="00000000">
        <w:rPr>
          <w:rFonts w:ascii="Verdana" w:cs="Verdana" w:eastAsia="Verdana" w:hAnsi="Verdana"/>
          <w:b w:val="1"/>
          <w:bCs w:val="1"/>
          <w:color w:val="1d1c1d"/>
          <w:sz w:val="20"/>
          <w:szCs w:val="20"/>
          <w:rtl w:val="0"/>
        </w:rPr>
        <w:t xml:space="preserve">Context:</w:t>
      </w:r>
    </w:p>
    <w:p w:rsidR="00000000" w:rsidDel="00000000" w:rsidP="00000000" w:rsidRDefault="00000000" w:rsidRPr="00000000" w14:paraId="00000006">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Act as a </w:t>
      </w:r>
      <w:r w:rsidDel="00000000" w:rsidR="00000000" w:rsidRPr="00000000">
        <w:rPr>
          <w:rFonts w:ascii="Verdana" w:cs="Verdana" w:eastAsia="Verdana" w:hAnsi="Verdana"/>
          <w:b w:val="1"/>
          <w:bCs w:val="1"/>
          <w:color w:val="1d1c1d"/>
          <w:sz w:val="20"/>
          <w:szCs w:val="20"/>
          <w:rtl w:val="0"/>
        </w:rPr>
        <w:t xml:space="preserve">Senior Accessibility Tester with 6+ years of experience in Child Care / Child Welfare applications</w:t>
      </w:r>
      <w:r w:rsidDel="00000000" w:rsidR="00000000" w:rsidRPr="00000000">
        <w:rPr>
          <w:rFonts w:ascii="Verdana" w:cs="Verdana" w:eastAsia="Verdana" w:hAnsi="Verdana"/>
          <w:color w:val="1d1c1d"/>
          <w:sz w:val="20"/>
          <w:szCs w:val="20"/>
          <w:rtl w:val="0"/>
        </w:rPr>
        <w:t xml:space="preserve">.</w:t>
      </w:r>
    </w:p>
    <w:p w:rsidR="00000000" w:rsidDel="00000000" w:rsidP="00000000" w:rsidRDefault="00000000" w:rsidRPr="00000000" w14:paraId="00000007">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Generate a </w:t>
      </w:r>
      <w:r w:rsidDel="00000000" w:rsidR="00000000" w:rsidRPr="00000000">
        <w:rPr>
          <w:rFonts w:ascii="Verdana" w:cs="Verdana" w:eastAsia="Verdana" w:hAnsi="Verdana"/>
          <w:b w:val="1"/>
          <w:bCs w:val="1"/>
          <w:color w:val="1d1c1d"/>
          <w:sz w:val="20"/>
          <w:szCs w:val="20"/>
          <w:rtl w:val="0"/>
        </w:rPr>
        <w:t xml:space="preserve">Test Strategy Document specifically for Accessibility Testing</w:t>
      </w:r>
      <w:r w:rsidDel="00000000" w:rsidR="00000000" w:rsidRPr="00000000">
        <w:rPr>
          <w:rFonts w:ascii="Verdana" w:cs="Verdana" w:eastAsia="Verdana" w:hAnsi="Verdana"/>
          <w:color w:val="1d1c1d"/>
          <w:sz w:val="20"/>
          <w:szCs w:val="20"/>
          <w:rtl w:val="0"/>
        </w:rPr>
        <w:t xml:space="preserve"> aligned with </w:t>
      </w:r>
      <w:r w:rsidDel="00000000" w:rsidR="00000000" w:rsidRPr="00000000">
        <w:rPr>
          <w:rFonts w:ascii="Verdana" w:cs="Verdana" w:eastAsia="Verdana" w:hAnsi="Verdana"/>
          <w:b w:val="1"/>
          <w:bCs w:val="1"/>
          <w:color w:val="1d1c1d"/>
          <w:sz w:val="20"/>
          <w:szCs w:val="20"/>
          <w:rtl w:val="0"/>
        </w:rPr>
        <w:t xml:space="preserve">WCAG 2.1 AA guidelines</w:t>
      </w:r>
      <w:r w:rsidDel="00000000" w:rsidR="00000000" w:rsidRPr="00000000">
        <w:rPr>
          <w:rFonts w:ascii="Verdana" w:cs="Verdana" w:eastAsia="Verdana" w:hAnsi="Verdana"/>
          <w:color w:val="1d1c1d"/>
          <w:sz w:val="20"/>
          <w:szCs w:val="20"/>
          <w:rtl w:val="0"/>
        </w:rPr>
        <w:t xml:space="preserve">.</w:t>
      </w:r>
    </w:p>
    <w:p w:rsidR="00000000" w:rsidDel="00000000" w:rsidP="00000000" w:rsidRDefault="00000000" w:rsidRPr="00000000" w14:paraId="00000008">
      <w:pPr>
        <w:spacing w:after="60" w:before="60" w:lineRule="auto"/>
        <w:rPr>
          <w:rFonts w:ascii="Verdana" w:cs="Verdana" w:eastAsia="Verdana" w:hAnsi="Verdana"/>
          <w:color w:val="1d1c1d"/>
          <w:sz w:val="20"/>
          <w:szCs w:val="20"/>
        </w:rPr>
      </w:pPr>
      <w:r w:rsidDel="00000000" w:rsidR="00000000" w:rsidRPr="00000000">
        <w:rPr>
          <w:rtl w:val="0"/>
        </w:rPr>
      </w:r>
    </w:p>
    <w:p w:rsidR="00000000" w:rsidDel="00000000" w:rsidP="00000000" w:rsidRDefault="00000000" w:rsidRPr="00000000" w14:paraId="00000009">
      <w:pPr>
        <w:spacing w:after="60" w:before="60" w:lineRule="auto"/>
        <w:rPr>
          <w:rFonts w:ascii="Verdana" w:cs="Verdana" w:eastAsia="Verdana" w:hAnsi="Verdana"/>
          <w:b w:val="1"/>
          <w:bCs w:val="1"/>
          <w:color w:val="1d1c1d"/>
          <w:sz w:val="20"/>
          <w:szCs w:val="20"/>
        </w:rPr>
      </w:pPr>
      <w:r w:rsidDel="00000000" w:rsidR="00000000" w:rsidRPr="00000000">
        <w:rPr>
          <w:rFonts w:ascii="Verdana" w:cs="Verdana" w:eastAsia="Verdana" w:hAnsi="Verdana"/>
          <w:b w:val="1"/>
          <w:bCs w:val="1"/>
          <w:color w:val="1d1c1d"/>
          <w:sz w:val="20"/>
          <w:szCs w:val="20"/>
          <w:rtl w:val="0"/>
        </w:rPr>
        <w:t xml:space="preserve">Instruction (Chain-of-Thought Approach):</w:t>
      </w:r>
    </w:p>
    <w:p w:rsidR="00000000" w:rsidDel="00000000" w:rsidP="00000000" w:rsidRDefault="00000000" w:rsidRPr="00000000" w14:paraId="0000000A">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 Ask me </w:t>
      </w:r>
      <w:r w:rsidDel="00000000" w:rsidR="00000000" w:rsidRPr="00000000">
        <w:rPr>
          <w:rFonts w:ascii="Verdana" w:cs="Verdana" w:eastAsia="Verdana" w:hAnsi="Verdana"/>
          <w:b w:val="1"/>
          <w:bCs w:val="1"/>
          <w:color w:val="1d1c1d"/>
          <w:sz w:val="20"/>
          <w:szCs w:val="20"/>
          <w:rtl w:val="0"/>
        </w:rPr>
        <w:t xml:space="preserve">5 questions step by step</w:t>
      </w:r>
      <w:r w:rsidDel="00000000" w:rsidR="00000000" w:rsidRPr="00000000">
        <w:rPr>
          <w:rFonts w:ascii="Verdana" w:cs="Verdana" w:eastAsia="Verdana" w:hAnsi="Verdana"/>
          <w:color w:val="1d1c1d"/>
          <w:sz w:val="20"/>
          <w:szCs w:val="20"/>
          <w:rtl w:val="0"/>
        </w:rPr>
        <w:t xml:space="preserve"> to build the Accessibility Test Strategy</w:t>
      </w:r>
    </w:p>
    <w:p w:rsidR="00000000" w:rsidDel="00000000" w:rsidP="00000000" w:rsidRDefault="00000000" w:rsidRPr="00000000" w14:paraId="0000000B">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 Each question should focus on a key area such as:</w:t>
      </w:r>
    </w:p>
    <w:p w:rsidR="00000000" w:rsidDel="00000000" w:rsidP="00000000" w:rsidRDefault="00000000" w:rsidRPr="00000000" w14:paraId="0000000C">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Accessibility requirements</w:t>
      </w:r>
    </w:p>
    <w:p w:rsidR="00000000" w:rsidDel="00000000" w:rsidP="00000000" w:rsidRDefault="00000000" w:rsidRPr="00000000" w14:paraId="0000000D">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Testing method, tools &amp; environment</w:t>
      </w:r>
    </w:p>
    <w:p w:rsidR="00000000" w:rsidDel="00000000" w:rsidP="00000000" w:rsidRDefault="00000000" w:rsidRPr="00000000" w14:paraId="0000000E">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Risk &amp; compliance</w:t>
      </w:r>
    </w:p>
    <w:p w:rsidR="00000000" w:rsidDel="00000000" w:rsidP="00000000" w:rsidRDefault="00000000" w:rsidRPr="00000000" w14:paraId="0000000F">
      <w:pPr>
        <w:spacing w:after="60" w:before="60" w:lineRule="auto"/>
        <w:rPr>
          <w:rFonts w:ascii="Verdana" w:cs="Verdana" w:eastAsia="Verdana" w:hAnsi="Verdana"/>
          <w:b w:val="1"/>
          <w:bCs w:val="1"/>
          <w:color w:val="1d1c1d"/>
          <w:sz w:val="20"/>
          <w:szCs w:val="20"/>
        </w:rPr>
      </w:pPr>
      <w:r w:rsidDel="00000000" w:rsidR="00000000" w:rsidRPr="00000000">
        <w:rPr>
          <w:rFonts w:ascii="Verdana" w:cs="Verdana" w:eastAsia="Verdana" w:hAnsi="Verdana"/>
          <w:color w:val="1d1c1d"/>
          <w:sz w:val="20"/>
          <w:szCs w:val="20"/>
          <w:rtl w:val="0"/>
        </w:rPr>
        <w:t xml:space="preserve">• Ask the </w:t>
      </w:r>
      <w:r w:rsidDel="00000000" w:rsidR="00000000" w:rsidRPr="00000000">
        <w:rPr>
          <w:rFonts w:ascii="Verdana" w:cs="Verdana" w:eastAsia="Verdana" w:hAnsi="Verdana"/>
          <w:b w:val="1"/>
          <w:bCs w:val="1"/>
          <w:color w:val="1d1c1d"/>
          <w:sz w:val="20"/>
          <w:szCs w:val="20"/>
          <w:rtl w:val="0"/>
        </w:rPr>
        <w:t xml:space="preserve">next question only after I provide the answer</w:t>
      </w:r>
    </w:p>
    <w:p w:rsidR="00000000" w:rsidDel="00000000" w:rsidP="00000000" w:rsidRDefault="00000000" w:rsidRPr="00000000" w14:paraId="00000010">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 Use my responses to refine and build the strategy logically</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b w:val="1"/>
          <w:bCs w:val="1"/>
          <w:color w:val="1d1c1d"/>
          <w:sz w:val="20"/>
          <w:szCs w:val="20"/>
        </w:rPr>
      </w:pPr>
      <w:r w:rsidDel="00000000" w:rsidR="00000000" w:rsidRPr="00000000">
        <w:rPr>
          <w:rFonts w:ascii="Verdana" w:cs="Verdana" w:eastAsia="Verdana" w:hAnsi="Verdana"/>
          <w:b w:val="1"/>
          <w:bCs w:val="1"/>
          <w:color w:val="1d1c1d"/>
          <w:sz w:val="20"/>
          <w:szCs w:val="20"/>
          <w:rtl w:val="0"/>
        </w:rPr>
        <w:t xml:space="preserve">OUTPUT FORMAT (MANDATORY)</w:t>
      </w:r>
    </w:p>
    <w:p w:rsidR="00000000" w:rsidDel="00000000" w:rsidP="00000000" w:rsidRDefault="00000000" w:rsidRPr="00000000" w14:paraId="00000012">
      <w:pPr>
        <w:spacing w:after="60" w:before="60" w:lineRule="auto"/>
        <w:rPr>
          <w:rFonts w:ascii="Verdana" w:cs="Verdana" w:eastAsia="Verdana" w:hAnsi="Verdana"/>
          <w:b w:val="1"/>
          <w:bCs w:val="1"/>
          <w:color w:val="1d1c1d"/>
          <w:sz w:val="20"/>
          <w:szCs w:val="20"/>
        </w:rPr>
      </w:pPr>
      <w:r w:rsidDel="00000000" w:rsidR="00000000" w:rsidRPr="00000000">
        <w:rPr>
          <w:rFonts w:ascii="Arial Unicode MS" w:cs="Arial Unicode MS" w:eastAsia="Arial Unicode MS" w:hAnsi="Arial Unicode MS"/>
          <w:color w:val="1d1c1d"/>
          <w:sz w:val="20"/>
          <w:szCs w:val="20"/>
          <w:rtl w:val="0"/>
        </w:rPr>
        <w:t xml:space="preserve">Test Strategy Document → </w:t>
      </w:r>
      <w:r w:rsidDel="00000000" w:rsidR="00000000" w:rsidRPr="00000000">
        <w:rPr>
          <w:rFonts w:ascii="Verdana" w:cs="Verdana" w:eastAsia="Verdana" w:hAnsi="Verdana"/>
          <w:b w:val="1"/>
          <w:bCs w:val="1"/>
          <w:color w:val="1d1c1d"/>
          <w:sz w:val="20"/>
          <w:szCs w:val="20"/>
          <w:rtl w:val="0"/>
        </w:rPr>
        <w:t xml:space="preserve">Downloadable Word Document (.docx)</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100" w:before="100" w:lineRule="auto"/>
        <w:ind w:left="0" w:firstLine="0"/>
        <w:rPr>
          <w:rFonts w:ascii="Verdana" w:cs="Verdana" w:eastAsia="Verdana" w:hAnsi="Verdana"/>
          <w:b w:val="1"/>
          <w:bCs w:val="1"/>
          <w:color w:val="1d1c1d"/>
          <w:sz w:val="20"/>
          <w:szCs w:val="20"/>
        </w:rPr>
      </w:pPr>
      <w:r w:rsidDel="00000000" w:rsidR="00000000" w:rsidRPr="00000000">
        <w:rPr>
          <w:rFonts w:ascii="Arial Unicode MS" w:cs="Arial Unicode MS" w:eastAsia="Arial Unicode MS" w:hAnsi="Arial Unicode MS"/>
          <w:color w:val="1d1c1d"/>
          <w:sz w:val="20"/>
          <w:szCs w:val="20"/>
          <w:rtl w:val="0"/>
        </w:rPr>
        <w:t xml:space="preserve">Review Comments / Defect Analysis → </w:t>
      </w:r>
      <w:r w:rsidDel="00000000" w:rsidR="00000000" w:rsidRPr="00000000">
        <w:rPr>
          <w:rFonts w:ascii="Verdana" w:cs="Verdana" w:eastAsia="Verdana" w:hAnsi="Verdana"/>
          <w:b w:val="1"/>
          <w:bCs w:val="1"/>
          <w:color w:val="1d1c1d"/>
          <w:sz w:val="20"/>
          <w:szCs w:val="20"/>
          <w:rtl w:val="0"/>
        </w:rPr>
        <w:t xml:space="preserve">Downloadable Excel Sheet (.xlsx)</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100" w:before="100" w:lineRule="auto"/>
        <w:ind w:left="0" w:firstLine="0"/>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Test results &amp; reporting -&gt; </w:t>
      </w:r>
      <w:r w:rsidDel="00000000" w:rsidR="00000000" w:rsidRPr="00000000">
        <w:rPr>
          <w:rFonts w:ascii="Verdana" w:cs="Verdana" w:eastAsia="Verdana" w:hAnsi="Verdana"/>
          <w:color w:val="1d1c1d"/>
          <w:sz w:val="20"/>
          <w:szCs w:val="20"/>
          <w:rtl w:val="0"/>
        </w:rPr>
        <w:t xml:space="preserve">map severity vs compliance risk, wcag success criteria, test result (pass/fail), issue description, corrective action, recommendation in a table format.</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Sample format -&gt;</w:t>
      </w:r>
      <w:r w:rsidDel="00000000" w:rsidR="00000000" w:rsidRPr="00000000">
        <w:rPr>
          <w:rFonts w:ascii="Verdana" w:cs="Verdana" w:eastAsia="Verdana" w:hAnsi="Verdana"/>
          <w:color w:val="1d1c1d"/>
          <w:sz w:val="20"/>
          <w:szCs w:val="20"/>
          <w:rtl w:val="0"/>
        </w:rPr>
        <w:t xml:space="preserve"> Every response must strictly follow this structure:</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A. Short Summary (2–3 lines)</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High-level assessment of key accessibility concerns.</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B. Identified Issues (Bullet Points Only)</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Group issues under these sections: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Screen Reader / ARIA Issues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Keyboard Navigation Issues</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Color Contrast Issues</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Semantic HTML Issues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Form &amp; Label Issues</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Focus &amp; Interaction Issues</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100" w:before="100" w:lineRule="auto"/>
        <w:ind w:left="0" w:firstLine="0"/>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Other WCAG Issues</w:t>
      </w:r>
    </w:p>
    <w:p w:rsidR="00000000" w:rsidDel="00000000" w:rsidP="00000000" w:rsidRDefault="00000000" w:rsidRPr="00000000" w14:paraId="00000021">
      <w:pPr>
        <w:spacing w:after="60" w:before="60" w:lineRule="auto"/>
        <w:rPr>
          <w:rFonts w:ascii="Verdana" w:cs="Verdana" w:eastAsia="Verdana" w:hAnsi="Verdana"/>
          <w:color w:val="1d1c1d"/>
          <w:sz w:val="20"/>
          <w:szCs w:val="20"/>
        </w:rPr>
      </w:pPr>
      <w:r w:rsidDel="00000000" w:rsidR="00000000" w:rsidRPr="00000000">
        <w:rPr>
          <w:rtl w:val="0"/>
        </w:rPr>
      </w:r>
    </w:p>
    <w:p w:rsidR="00000000" w:rsidDel="00000000" w:rsidP="00000000" w:rsidRDefault="00000000" w:rsidRPr="00000000" w14:paraId="00000022">
      <w:pPr>
        <w:spacing w:after="60" w:before="60" w:lineRule="auto"/>
        <w:rPr>
          <w:rFonts w:ascii="Verdana" w:cs="Verdana" w:eastAsia="Verdana" w:hAnsi="Verdana"/>
          <w:color w:val="1d1c1d"/>
          <w:sz w:val="20"/>
          <w:szCs w:val="20"/>
        </w:rPr>
      </w:pPr>
      <w:r w:rsidDel="00000000" w:rsidR="00000000" w:rsidRPr="00000000">
        <w:rPr>
          <w:rtl w:val="0"/>
        </w:rPr>
      </w:r>
    </w:p>
    <w:p w:rsidR="00000000" w:rsidDel="00000000" w:rsidP="00000000" w:rsidRDefault="00000000" w:rsidRPr="00000000" w14:paraId="00000023">
      <w:pPr>
        <w:spacing w:after="60" w:before="60" w:lineRule="auto"/>
        <w:rPr>
          <w:rFonts w:ascii="Verdana" w:cs="Verdana" w:eastAsia="Verdana" w:hAnsi="Verdana"/>
          <w:b w:val="1"/>
          <w:bCs w:val="1"/>
          <w:color w:val="1d1c1d"/>
          <w:sz w:val="20"/>
          <w:szCs w:val="20"/>
        </w:rPr>
      </w:pPr>
      <w:r w:rsidDel="00000000" w:rsidR="00000000" w:rsidRPr="00000000">
        <w:rPr>
          <w:rFonts w:ascii="Verdana" w:cs="Verdana" w:eastAsia="Verdana" w:hAnsi="Verdana"/>
          <w:b w:val="1"/>
          <w:bCs w:val="1"/>
          <w:color w:val="1d1c1d"/>
          <w:sz w:val="20"/>
          <w:szCs w:val="20"/>
          <w:rtl w:val="0"/>
        </w:rPr>
        <w:t xml:space="preserve">Results:</w:t>
      </w:r>
    </w:p>
    <w:p w:rsidR="00000000" w:rsidDel="00000000" w:rsidP="00000000" w:rsidRDefault="00000000" w:rsidRPr="00000000" w14:paraId="00000024">
      <w:pPr>
        <w:spacing w:after="60" w:before="60" w:lineRule="auto"/>
        <w:rPr>
          <w:rFonts w:ascii="Verdana" w:cs="Verdana" w:eastAsia="Verdana" w:hAnsi="Verdana"/>
          <w:b w:val="1"/>
          <w:bCs w:val="1"/>
          <w:color w:val="1d1c1d"/>
          <w:sz w:val="20"/>
          <w:szCs w:val="20"/>
        </w:rPr>
      </w:pPr>
      <w:r w:rsidDel="00000000" w:rsidR="00000000" w:rsidRPr="00000000">
        <w:rPr>
          <w:rFonts w:ascii="Verdana" w:cs="Verdana" w:eastAsia="Verdana" w:hAnsi="Verdana"/>
          <w:color w:val="1d1c1d"/>
          <w:sz w:val="20"/>
          <w:szCs w:val="20"/>
          <w:rtl w:val="0"/>
        </w:rPr>
        <w:t xml:space="preserve">• Used ChatGPT with a </w:t>
      </w:r>
      <w:r w:rsidDel="00000000" w:rsidR="00000000" w:rsidRPr="00000000">
        <w:rPr>
          <w:rFonts w:ascii="Verdana" w:cs="Verdana" w:eastAsia="Verdana" w:hAnsi="Verdana"/>
          <w:b w:val="1"/>
          <w:bCs w:val="1"/>
          <w:color w:val="1d1c1d"/>
          <w:sz w:val="20"/>
          <w:szCs w:val="20"/>
          <w:rtl w:val="0"/>
        </w:rPr>
        <w:t xml:space="preserve">chain-of-thought questioning approach</w:t>
      </w:r>
    </w:p>
    <w:p w:rsidR="00000000" w:rsidDel="00000000" w:rsidP="00000000" w:rsidRDefault="00000000" w:rsidRPr="00000000" w14:paraId="00000025">
      <w:pPr>
        <w:spacing w:after="60" w:before="60" w:lineRule="auto"/>
        <w:rPr>
          <w:rFonts w:ascii="Verdana" w:cs="Verdana" w:eastAsia="Verdana" w:hAnsi="Verdana"/>
          <w:b w:val="1"/>
          <w:bCs w:val="1"/>
          <w:color w:val="1d1c1d"/>
          <w:sz w:val="20"/>
          <w:szCs w:val="20"/>
        </w:rPr>
      </w:pPr>
      <w:r w:rsidDel="00000000" w:rsidR="00000000" w:rsidRPr="00000000">
        <w:rPr>
          <w:rFonts w:ascii="Verdana" w:cs="Verdana" w:eastAsia="Verdana" w:hAnsi="Verdana"/>
          <w:color w:val="1d1c1d"/>
          <w:sz w:val="20"/>
          <w:szCs w:val="20"/>
          <w:rtl w:val="0"/>
        </w:rPr>
        <w:t xml:space="preserve">• Generated a structured Accessibility Test Strategy tailored for the </w:t>
      </w:r>
      <w:r w:rsidDel="00000000" w:rsidR="00000000" w:rsidRPr="00000000">
        <w:rPr>
          <w:rFonts w:ascii="Verdana" w:cs="Verdana" w:eastAsia="Verdana" w:hAnsi="Verdana"/>
          <w:b w:val="1"/>
          <w:bCs w:val="1"/>
          <w:color w:val="1d1c1d"/>
          <w:sz w:val="20"/>
          <w:szCs w:val="20"/>
          <w:rtl w:val="0"/>
        </w:rPr>
        <w:t xml:space="preserve">Child Care domain</w:t>
      </w:r>
    </w:p>
    <w:p w:rsidR="00000000" w:rsidDel="00000000" w:rsidP="00000000" w:rsidRDefault="00000000" w:rsidRPr="00000000" w14:paraId="00000026">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 Included WCAG compliance, assistive technology testing, and risk-based validation</w:t>
      </w:r>
    </w:p>
    <w:p w:rsidR="00000000" w:rsidDel="00000000" w:rsidP="00000000" w:rsidRDefault="00000000" w:rsidRPr="00000000" w14:paraId="00000027">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 Converted outputs into:</w:t>
      </w:r>
    </w:p>
    <w:p w:rsidR="00000000" w:rsidDel="00000000" w:rsidP="00000000" w:rsidRDefault="00000000" w:rsidRPr="00000000" w14:paraId="00000028">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Word document (Test Strategy)</w:t>
      </w:r>
    </w:p>
    <w:p w:rsidR="00000000" w:rsidDel="00000000" w:rsidP="00000000" w:rsidRDefault="00000000" w:rsidRPr="00000000" w14:paraId="00000029">
      <w:pPr>
        <w:spacing w:after="60" w:before="60" w:lineRule="auto"/>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Excel sheet (Defect ratio &amp; review comments)</w:t>
      </w:r>
    </w:p>
    <w:p w:rsidR="00000000" w:rsidDel="00000000" w:rsidP="00000000" w:rsidRDefault="00000000" w:rsidRPr="00000000" w14:paraId="0000002A">
      <w:pPr>
        <w:spacing w:after="60" w:before="60" w:lineRule="auto"/>
        <w:rPr>
          <w:rFonts w:ascii="Verdana" w:cs="Verdana" w:eastAsia="Verdana" w:hAnsi="Verdana"/>
          <w:color w:val="1d1c1d"/>
          <w:sz w:val="20"/>
          <w:szCs w:val="20"/>
        </w:rPr>
      </w:pPr>
      <w:r w:rsidDel="00000000" w:rsidR="00000000" w:rsidRPr="00000000">
        <w:rPr>
          <w:rtl w:val="0"/>
        </w:rPr>
      </w:r>
    </w:p>
    <w:p w:rsidR="00000000" w:rsidDel="00000000" w:rsidP="00000000" w:rsidRDefault="00000000" w:rsidRPr="00000000" w14:paraId="0000002B">
      <w:pPr>
        <w:numPr>
          <w:ilvl w:val="0"/>
          <w:numId w:val="1"/>
        </w:numPr>
        <w:spacing w:after="0" w:afterAutospacing="0" w:before="60" w:lineRule="auto"/>
        <w:ind w:left="720" w:hanging="360"/>
        <w:rPr>
          <w:rFonts w:ascii="Verdana" w:cs="Verdana" w:eastAsia="Verdana" w:hAnsi="Verdana"/>
          <w:sz w:val="20"/>
          <w:szCs w:val="20"/>
          <w:u w:val="none"/>
        </w:rPr>
      </w:pPr>
      <w:hyperlink r:id="rId6">
        <w:r w:rsidDel="00000000" w:rsidR="00000000" w:rsidRPr="00000000">
          <w:rPr>
            <w:rFonts w:ascii="Verdana" w:cs="Verdana" w:eastAsia="Verdana" w:hAnsi="Verdana"/>
            <w:color w:val="1155cc"/>
            <w:sz w:val="20"/>
            <w:szCs w:val="20"/>
            <w:u w:val="single"/>
            <w:rtl w:val="0"/>
          </w:rPr>
          <w:t xml:space="preserve">Accessibility Test Strategy</w:t>
        </w:r>
      </w:hyperlink>
      <w:r w:rsidDel="00000000" w:rsidR="00000000" w:rsidRPr="00000000">
        <w:rPr>
          <w:rtl w:val="0"/>
        </w:rPr>
      </w:r>
    </w:p>
    <w:p w:rsidR="00000000" w:rsidDel="00000000" w:rsidP="00000000" w:rsidRDefault="00000000" w:rsidRPr="00000000" w14:paraId="0000002C">
      <w:pPr>
        <w:numPr>
          <w:ilvl w:val="0"/>
          <w:numId w:val="1"/>
        </w:numPr>
        <w:spacing w:after="60" w:before="0" w:beforeAutospacing="0" w:lineRule="auto"/>
        <w:ind w:left="720" w:hanging="360"/>
        <w:rPr>
          <w:rFonts w:ascii="Verdana" w:cs="Verdana" w:eastAsia="Verdana" w:hAnsi="Verdana"/>
          <w:sz w:val="20"/>
          <w:szCs w:val="20"/>
          <w:u w:val="none"/>
        </w:rPr>
      </w:pPr>
      <w:hyperlink r:id="rId7">
        <w:r w:rsidDel="00000000" w:rsidR="00000000" w:rsidRPr="00000000">
          <w:rPr>
            <w:rFonts w:ascii="Verdana" w:cs="Verdana" w:eastAsia="Verdana" w:hAnsi="Verdana"/>
            <w:color w:val="1155cc"/>
            <w:sz w:val="20"/>
            <w:szCs w:val="20"/>
            <w:u w:val="single"/>
            <w:rtl w:val="0"/>
          </w:rPr>
          <w:t xml:space="preserve">Accessibility Reporting</w:t>
        </w:r>
      </w:hyperlink>
      <w:r w:rsidDel="00000000" w:rsidR="00000000" w:rsidRPr="00000000">
        <w:rPr>
          <w:rtl w:val="0"/>
        </w:rPr>
      </w:r>
    </w:p>
    <w:p w:rsidR="00000000" w:rsidDel="00000000" w:rsidP="00000000" w:rsidRDefault="00000000" w:rsidRPr="00000000" w14:paraId="0000002D">
      <w:pPr>
        <w:spacing w:after="60" w:before="60" w:lineRule="auto"/>
        <w:rPr>
          <w:rFonts w:ascii="Verdana" w:cs="Verdana" w:eastAsia="Verdana" w:hAnsi="Verdana"/>
          <w:color w:val="1d1c1d"/>
          <w:sz w:val="20"/>
          <w:szCs w:val="20"/>
        </w:rPr>
      </w:pPr>
      <w:r w:rsidDel="00000000" w:rsidR="00000000" w:rsidRPr="00000000">
        <w:rPr>
          <w:rtl w:val="0"/>
        </w:rPr>
      </w:r>
    </w:p>
    <w:p w:rsidR="00000000" w:rsidDel="00000000" w:rsidP="00000000" w:rsidRDefault="00000000" w:rsidRPr="00000000" w14:paraId="0000002E">
      <w:pPr>
        <w:spacing w:after="60" w:before="60" w:lineRule="auto"/>
        <w:rPr>
          <w:rFonts w:ascii="Verdana" w:cs="Verdana" w:eastAsia="Verdana" w:hAnsi="Verdana"/>
          <w:color w:val="1d1c1d"/>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8"/>
          <w:szCs w:val="28"/>
        </w:rPr>
      </w:pPr>
      <w:r w:rsidDel="00000000" w:rsidR="00000000" w:rsidRPr="00000000">
        <w:rPr>
          <w:rFonts w:ascii="Verdana" w:cs="Verdana" w:eastAsia="Verdana" w:hAnsi="Verdana"/>
          <w:b w:val="1"/>
          <w:bCs w:val="1"/>
          <w:color w:val="1d1c1d"/>
          <w:sz w:val="20"/>
          <w:szCs w:val="20"/>
          <w:rtl w:val="0"/>
        </w:rPr>
        <w:t xml:space="preserve">Task 2 : Design the automation framework structure using a chain-of-thought approach</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Chat Model Used:</w:t>
      </w:r>
      <w:r w:rsidDel="00000000" w:rsidR="00000000" w:rsidRPr="00000000">
        <w:rPr>
          <w:rFonts w:ascii="Verdana" w:cs="Verdana" w:eastAsia="Verdana" w:hAnsi="Verdana"/>
          <w:color w:val="1d1c1d"/>
          <w:sz w:val="20"/>
          <w:szCs w:val="20"/>
          <w:rtl w:val="0"/>
        </w:rPr>
        <w:t xml:space="preserve"> ChatGpt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Fonts w:ascii="Verdana" w:cs="Verdana" w:eastAsia="Verdana" w:hAnsi="Verdana"/>
          <w:color w:val="1d1c1d"/>
          <w:sz w:val="20"/>
          <w:szCs w:val="20"/>
          <w:rtl w:val="0"/>
        </w:rPr>
        <w:t xml:space="preserve">Act as a Senior QA Automation 5+ years of experience in Playwright automation and domain expertise in child care applications. You are required to design a scalable and maintainable automation framework strategy using Playwright with AI/Test Agent integration.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Context:</w:t>
      </w:r>
      <w:r w:rsidDel="00000000" w:rsidR="00000000" w:rsidRPr="00000000">
        <w:rPr>
          <w:rFonts w:ascii="Verdana" w:cs="Verdana" w:eastAsia="Verdana" w:hAnsi="Verdana"/>
          <w:color w:val="1d1c1d"/>
          <w:sz w:val="20"/>
          <w:szCs w:val="20"/>
          <w:rtl w:val="0"/>
        </w:rPr>
        <w:t xml:space="preserve"> The application is a child care system with modules such as child profile management, caregiver assignment, appointments, documents, and notifications. The system includes role-based access (admin, caregiver, staff) and requires both UI and API validation.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Task:</w:t>
      </w:r>
      <w:r w:rsidDel="00000000" w:rsidR="00000000" w:rsidRPr="00000000">
        <w:rPr>
          <w:rFonts w:ascii="Verdana" w:cs="Verdana" w:eastAsia="Verdana" w:hAnsi="Verdana"/>
          <w:color w:val="1d1c1d"/>
          <w:sz w:val="20"/>
          <w:szCs w:val="20"/>
          <w:rtl w:val="0"/>
        </w:rPr>
        <w:t xml:space="preserve"> Design a complete automation framework strategy.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Chain-of-Thought Instructions:</w:t>
      </w:r>
      <w:r w:rsidDel="00000000" w:rsidR="00000000" w:rsidRPr="00000000">
        <w:rPr>
          <w:rFonts w:ascii="Verdana" w:cs="Verdana" w:eastAsia="Verdana" w:hAnsi="Verdana"/>
          <w:color w:val="1d1c1d"/>
          <w:sz w:val="20"/>
          <w:szCs w:val="20"/>
          <w:rtl w:val="0"/>
        </w:rPr>
        <w:t xml:space="preserve"> 1. First, understand the application domain and identify key testing needs. 2. Break down the problem into smaller components such as framework architecture, test layers, data management, and execution strategy. 3. For each component, explain your reasoning and why a specific approach is chosen. 4. Consider edge cases such as dynamic UI, flaky tests, role-based flows, and large datasets. 5. Propose how AI/Test Agent can be integrated for test generation, maintenance, and self-healing. 6. Ensure all components integrate logically into a unified framework.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Output Requirements:</w:t>
      </w:r>
      <w:r w:rsidDel="00000000" w:rsidR="00000000" w:rsidRPr="00000000">
        <w:rPr>
          <w:rFonts w:ascii="Verdana" w:cs="Verdana" w:eastAsia="Verdana" w:hAnsi="Verdana"/>
          <w:color w:val="1d1c1d"/>
          <w:sz w:val="20"/>
          <w:szCs w:val="20"/>
          <w:rtl w:val="0"/>
        </w:rPr>
        <w:t xml:space="preserve"> - Step-by-step reasoning for each decision - Final framework architecture - Recommended folder structure - Sample Playwright TypeScript code snippets - Best practices for scalability and maintainability Constraints: - Avoid generic answers - Focus on real-world implementation - Ensure CI/CD compatibility - Include accessibility testing considerations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Tone:</w:t>
      </w:r>
      <w:r w:rsidDel="00000000" w:rsidR="00000000" w:rsidRPr="00000000">
        <w:rPr>
          <w:rFonts w:ascii="Verdana" w:cs="Verdana" w:eastAsia="Verdana" w:hAnsi="Verdana"/>
          <w:color w:val="1d1c1d"/>
          <w:sz w:val="20"/>
          <w:szCs w:val="20"/>
          <w:rtl w:val="0"/>
        </w:rPr>
        <w:t xml:space="preserve"> Professional, structured, and implementation-focused.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Fonts w:ascii="Verdana" w:cs="Verdana" w:eastAsia="Verdana" w:hAnsi="Verdana"/>
          <w:b w:val="1"/>
          <w:bCs w:val="1"/>
          <w:color w:val="1d1c1d"/>
          <w:sz w:val="20"/>
          <w:szCs w:val="20"/>
          <w:rtl w:val="0"/>
        </w:rPr>
        <w:t xml:space="preserve">Final Instruction:</w:t>
      </w:r>
      <w:r w:rsidDel="00000000" w:rsidR="00000000" w:rsidRPr="00000000">
        <w:rPr>
          <w:rFonts w:ascii="Verdana" w:cs="Verdana" w:eastAsia="Verdana" w:hAnsi="Verdana"/>
          <w:color w:val="1d1c1d"/>
          <w:sz w:val="20"/>
          <w:szCs w:val="20"/>
          <w:rtl w:val="0"/>
        </w:rPr>
        <w:t xml:space="preserve"> Think step-by-step and clearly explain your reasoning before providing the final structured framework design.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Verdana" w:cs="Verdana" w:eastAsia="Verdana" w:hAnsi="Verdana"/>
          <w:color w:val="1d1c1d"/>
          <w:sz w:val="20"/>
          <w:szCs w:val="20"/>
        </w:rPr>
      </w:pPr>
      <w:r w:rsidDel="00000000" w:rsidR="00000000" w:rsidRPr="00000000">
        <w:rPr>
          <w:rtl w:val="0"/>
        </w:rPr>
      </w:r>
    </w:p>
    <w:p w:rsidR="00000000" w:rsidDel="00000000" w:rsidP="00000000" w:rsidRDefault="00000000" w:rsidRPr="00000000" w14:paraId="0000003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rPr>
          <w:rFonts w:ascii="Verdana" w:cs="Verdana" w:eastAsia="Verdana" w:hAnsi="Verdana"/>
          <w:sz w:val="20"/>
          <w:szCs w:val="20"/>
        </w:rPr>
      </w:pPr>
      <w:hyperlink r:id="rId8">
        <w:r w:rsidDel="00000000" w:rsidR="00000000" w:rsidRPr="00000000">
          <w:rPr>
            <w:rFonts w:ascii="Verdana" w:cs="Verdana" w:eastAsia="Verdana" w:hAnsi="Verdana"/>
            <w:color w:val="1155cc"/>
            <w:sz w:val="20"/>
            <w:szCs w:val="20"/>
            <w:u w:val="single"/>
            <w:rtl w:val="0"/>
          </w:rPr>
          <w:t xml:space="preserve">playwright_framework_strategy</w:t>
        </w:r>
      </w:hyperlink>
      <w:r w:rsidDel="00000000" w:rsidR="00000000" w:rsidRPr="00000000">
        <w:rPr>
          <w:rtl w:val="0"/>
        </w:rPr>
      </w:r>
    </w:p>
    <w:p w:rsidR="00000000" w:rsidDel="00000000" w:rsidP="00000000" w:rsidRDefault="00000000" w:rsidRPr="00000000" w14:paraId="0000003D">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rPr>
          <w:rFonts w:ascii="Verdana" w:cs="Verdana" w:eastAsia="Verdana" w:hAnsi="Verdana"/>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eXzx5n_99NvcTDpqlaQHuUM8l-qNhFQK/edit" TargetMode="External"/><Relationship Id="rId7" Type="http://schemas.openxmlformats.org/officeDocument/2006/relationships/hyperlink" Target="https://docs.google.com/spreadsheets/d/1iIKyuGKplba-jNC5P8zmRK4uyAeo6Kmv/edit?gid=1846919168#gid=1846919168" TargetMode="External"/><Relationship Id="rId8" Type="http://schemas.openxmlformats.org/officeDocument/2006/relationships/hyperlink" Target="https://docs.google.com/document/d/1T6AgZckxqqY34EBfWDTe93Pn4-W8LIwl/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