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0F172A"/>
          <w:sz w:val="52"/>
        </w:rPr>
        <w:t>Enterprise Sales Analytics Studio</w:t>
      </w:r>
    </w:p>
    <w:p>
      <w:pPr>
        <w:spacing w:after="400"/>
      </w:pPr>
      <w:r>
        <w:rPr>
          <w:rFonts w:ascii="Calibri" w:hAnsi="Calibri"/>
          <w:color w:val="4F46E5"/>
          <w:sz w:val="26"/>
        </w:rPr>
        <w:t>Executive Architecture &amp; Technical Specifications Report | FilePrepDB Ecosystem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475569"/>
                <w:sz w:val="19"/>
              </w:rPr>
              <w:t>Target Platform:</w:t>
            </w:r>
          </w:p>
        </w:tc>
        <w:tc>
          <w:tcPr>
            <w:tcW w:type="dxa" w:w="6192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0F172A"/>
                <w:sz w:val="19"/>
              </w:rPr>
              <w:t>fileprepdb (SQL Server 2019 / 2022) • TestData &amp; CSDB Databases</w:t>
            </w:r>
          </w:p>
        </w:tc>
      </w:tr>
      <w:tr>
        <w:tc>
          <w:tcPr>
            <w:tcW w:type="dxa" w:w="3168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475569"/>
                <w:sz w:val="19"/>
              </w:rPr>
              <w:t>Document Type:</w:t>
            </w:r>
          </w:p>
        </w:tc>
        <w:tc>
          <w:tcPr>
            <w:tcW w:type="dxa" w:w="6192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0F172A"/>
                <w:sz w:val="19"/>
              </w:rPr>
              <w:t>System Architecture, UI Specifications &amp; Operational Readiness</w:t>
            </w:r>
          </w:p>
        </w:tc>
      </w:tr>
      <w:tr>
        <w:tc>
          <w:tcPr>
            <w:tcW w:type="dxa" w:w="3168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475569"/>
                <w:sz w:val="19"/>
              </w:rPr>
              <w:t>Dataset Scale:</w:t>
            </w:r>
          </w:p>
        </w:tc>
        <w:tc>
          <w:tcPr>
            <w:tcW w:type="dxa" w:w="6192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0F172A"/>
                <w:sz w:val="19"/>
              </w:rPr>
              <w:t>33,114,355+ Live Sales Transactions (1950 – Present) • Synchronized</w:t>
            </w:r>
          </w:p>
        </w:tc>
      </w:tr>
      <w:tr>
        <w:tc>
          <w:tcPr>
            <w:tcW w:type="dxa" w:w="3168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475569"/>
                <w:sz w:val="19"/>
              </w:rPr>
              <w:t>Prepared For:</w:t>
            </w:r>
          </w:p>
        </w:tc>
        <w:tc>
          <w:tcPr>
            <w:tcW w:type="dxa" w:w="6192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0F172A"/>
                <w:sz w:val="19"/>
              </w:rPr>
              <w:t>Executive Leadership &amp; Database Engineering Management</w:t>
            </w:r>
          </w:p>
        </w:tc>
      </w:tr>
    </w:tbl>
    <w:p>
      <w:pPr>
        <w:spacing w:after="240"/>
      </w:pPr>
    </w:p>
    <w:p>
      <w:pPr>
        <w:pStyle w:val="Heading1"/>
        <w:spacing w:before="320" w:after="120"/>
      </w:pPr>
      <w:r>
        <w:t>1. Executive Summary &amp; Purpose</w:t>
      </w:r>
    </w:p>
    <w:p>
      <w:r>
        <w:t>The Sales Analytics Studio provides high-performance, real-time portfolio intelligence, trends, and jurisdictional market leaders across 33.1 million historical and active commercial and residential transactions. Designed with strict enterprise governance, the dashboard operates with 100% read isolation from live production tables, ensuring zero schema disruption, zero table locks, and sub-second UI responsiveness across the entire corporate network.</w:t>
      </w:r>
    </w:p>
    <w:p>
      <w:pPr>
        <w:pStyle w:val="ListBullet"/>
        <w:spacing w:after="60"/>
      </w:pPr>
      <w:r>
        <w:t>Strict Read Isolation: Zero DDL or DML write operations on live production tables (CSDB.dbo.Sales, CSDB.dbo.Sources, CSDB.dbo.tbl_cads).</w:t>
      </w:r>
    </w:p>
    <w:p>
      <w:pPr>
        <w:pStyle w:val="ListBullet"/>
        <w:spacing w:after="60"/>
      </w:pPr>
      <w:r>
        <w:t>Incremental Delta Ingestion: Automatically synchronizes new sales data in under 50 milliseconds using primary key B-Tree clustering.</w:t>
      </w:r>
    </w:p>
    <w:p>
      <w:pPr>
        <w:pStyle w:val="ListBullet"/>
        <w:spacing w:after="60"/>
      </w:pPr>
      <w:r>
        <w:t>Sub-Second Response Times: Core KPIs return in ~5 ms; Recent transactions load in 120 ms (down from 223+ seconds, a 1,770x performance gain).</w:t>
      </w:r>
    </w:p>
    <w:p>
      <w:pPr>
        <w:pStyle w:val="ListBullet"/>
        <w:spacing w:after="60"/>
      </w:pPr>
      <w:r>
        <w:t>Independent Office Deployment: Fully decoupled from developer workstations; runs continuously on server port 5137 / 5173 with Active Directory security.</w:t>
      </w:r>
    </w:p>
    <w:p>
      <w:pPr>
        <w:pStyle w:val="Heading1"/>
        <w:spacing w:before="320" w:after="120"/>
      </w:pPr>
      <w:r>
        <w:t>2. Database Architecture &amp; Table Inventory</w:t>
      </w:r>
    </w:p>
    <w:p>
      <w:r>
        <w:t>The data tier is structured across two database schemas in fileprepdb to enforce strict separation of concerns: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172A"/>
          </w:tcPr>
          <w:p>
            <w:pPr>
              <w:spacing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Database</w:t>
            </w:r>
          </w:p>
        </w:tc>
        <w:tc>
          <w:tcPr>
            <w:tcW w:type="dxa" w:w="2340"/>
            <w:shd w:fill="0F172A"/>
          </w:tcPr>
          <w:p>
            <w:pPr>
              <w:spacing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Object Name</w:t>
            </w:r>
          </w:p>
        </w:tc>
        <w:tc>
          <w:tcPr>
            <w:tcW w:type="dxa" w:w="2340"/>
            <w:shd w:fill="0F172A"/>
          </w:tcPr>
          <w:p>
            <w:pPr>
              <w:spacing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340"/>
            <w:shd w:fill="0F172A"/>
          </w:tcPr>
          <w:p>
            <w:pPr>
              <w:spacing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Functional Role &amp; Performance Characteristic</w:t>
            </w:r>
          </w:p>
        </w:tc>
      </w:tr>
      <w:tr>
        <w:tc>
          <w:tcPr>
            <w:tcW w:type="dxa" w:w="1584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0F172A"/>
                <w:sz w:val="19"/>
              </w:rPr>
              <w:t>CSDB</w:t>
            </w:r>
          </w:p>
        </w:tc>
        <w:tc>
          <w:tcPr>
            <w:tcW w:type="dxa" w:w="3168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0F172A"/>
                <w:sz w:val="19"/>
              </w:rPr>
              <w:t>dbo.Sales</w:t>
            </w:r>
          </w:p>
        </w:tc>
        <w:tc>
          <w:tcPr>
            <w:tcW w:type="dxa" w:w="1440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0F172A"/>
                <w:sz w:val="19"/>
              </w:rPr>
              <w:t>Live Table</w:t>
            </w:r>
          </w:p>
        </w:tc>
        <w:tc>
          <w:tcPr>
            <w:tcW w:type="dxa" w:w="3168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0F172A"/>
                <w:sz w:val="19"/>
              </w:rPr>
              <w:t>Master sales ledger containing 33,098,153+ rows. Physical clustered index PK_Sales_SID2 on SID. Strictly queried with WITH (NOLOCK).</w:t>
            </w:r>
          </w:p>
        </w:tc>
      </w:tr>
      <w:tr>
        <w:tc>
          <w:tcPr>
            <w:tcW w:type="dxa" w:w="1584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0F172A"/>
                <w:sz w:val="19"/>
              </w:rPr>
              <w:t>CSDB</w:t>
            </w:r>
          </w:p>
        </w:tc>
        <w:tc>
          <w:tcPr>
            <w:tcW w:type="dxa" w:w="3168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0F172A"/>
                <w:sz w:val="19"/>
              </w:rPr>
              <w:t>dbo.tbl_cads</w:t>
            </w:r>
          </w:p>
        </w:tc>
        <w:tc>
          <w:tcPr>
            <w:tcW w:type="dxa" w:w="1440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0F172A"/>
                <w:sz w:val="19"/>
              </w:rPr>
              <w:t>Master Table</w:t>
            </w:r>
          </w:p>
        </w:tc>
        <w:tc>
          <w:tcPr>
            <w:tcW w:type="dxa" w:w="3168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0F172A"/>
                <w:sz w:val="19"/>
              </w:rPr>
              <w:t>Master CAD lookup table mapping cad_CADID to canonical county and state names (cad_CountyName, cad_State).</w:t>
            </w:r>
          </w:p>
        </w:tc>
      </w:tr>
      <w:tr>
        <w:tc>
          <w:tcPr>
            <w:tcW w:type="dxa" w:w="1584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0F172A"/>
                <w:sz w:val="19"/>
              </w:rPr>
              <w:t>TestData</w:t>
            </w:r>
          </w:p>
        </w:tc>
        <w:tc>
          <w:tcPr>
            <w:tcW w:type="dxa" w:w="3168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0F172A"/>
                <w:sz w:val="19"/>
              </w:rPr>
              <w:t>dbo.vw_SalesDashboard_Base</w:t>
            </w:r>
          </w:p>
        </w:tc>
        <w:tc>
          <w:tcPr>
            <w:tcW w:type="dxa" w:w="1440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0F172A"/>
                <w:sz w:val="19"/>
              </w:rPr>
              <w:t>Core View</w:t>
            </w:r>
          </w:p>
        </w:tc>
        <w:tc>
          <w:tcPr>
            <w:tcW w:type="dxa" w:w="3168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0F172A"/>
                <w:sz w:val="19"/>
              </w:rPr>
              <w:t>Denormalized abstraction view. Pre-cleans deleted=0, filters post-1950 sales, categorizes SourceGroup, and resolves blank county names via tbl_cads.</w:t>
            </w:r>
          </w:p>
        </w:tc>
      </w:tr>
      <w:tr>
        <w:tc>
          <w:tcPr>
            <w:tcW w:type="dxa" w:w="1584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0F172A"/>
                <w:sz w:val="19"/>
              </w:rPr>
              <w:t>TestData</w:t>
            </w:r>
          </w:p>
        </w:tc>
        <w:tc>
          <w:tcPr>
            <w:tcW w:type="dxa" w:w="3168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0F172A"/>
                <w:sz w:val="19"/>
              </w:rPr>
              <w:t>dbo.tbl_SalesDashboard_SummaryCache</w:t>
            </w:r>
          </w:p>
        </w:tc>
        <w:tc>
          <w:tcPr>
            <w:tcW w:type="dxa" w:w="1440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0F172A"/>
                <w:sz w:val="19"/>
              </w:rPr>
              <w:t>Cache Table</w:t>
            </w:r>
          </w:p>
        </w:tc>
        <w:tc>
          <w:tcPr>
            <w:tcW w:type="dxa" w:w="3168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0F172A"/>
                <w:sz w:val="19"/>
              </w:rPr>
              <w:t>High-speed 1-row table holding pre-aggregated portfolio metrics (Total, Sold, Listings, Volume, Avg Price, and MaxSID tracking).</w:t>
            </w:r>
          </w:p>
        </w:tc>
      </w:tr>
      <w:tr>
        <w:tc>
          <w:tcPr>
            <w:tcW w:type="dxa" w:w="1584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0F172A"/>
                <w:sz w:val="19"/>
              </w:rPr>
              <w:t>TestData</w:t>
            </w:r>
          </w:p>
        </w:tc>
        <w:tc>
          <w:tcPr>
            <w:tcW w:type="dxa" w:w="3168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0F172A"/>
                <w:sz w:val="19"/>
              </w:rPr>
              <w:t>dbo.tbl_SalesDashboard_CountyCache</w:t>
            </w:r>
          </w:p>
        </w:tc>
        <w:tc>
          <w:tcPr>
            <w:tcW w:type="dxa" w:w="1440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0F172A"/>
                <w:sz w:val="19"/>
              </w:rPr>
              <w:t>Cache Table</w:t>
            </w:r>
          </w:p>
        </w:tc>
        <w:tc>
          <w:tcPr>
            <w:tcW w:type="dxa" w:w="3168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0F172A"/>
                <w:sz w:val="19"/>
              </w:rPr>
              <w:t>Nationwide jurisdictional cache of 3,244 county/CAD entities. Pre-aggregated for instant geographic rendering.</w:t>
            </w:r>
          </w:p>
        </w:tc>
      </w:tr>
    </w:tbl>
    <w:p>
      <w:pPr>
        <w:pStyle w:val="Heading1"/>
        <w:spacing w:before="320" w:after="120"/>
      </w:pPr>
      <w:r>
        <w:t>3. Stored Procedures &amp; Telemetry Catalog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172A"/>
          </w:tcPr>
          <w:p>
            <w:pPr>
              <w:spacing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Stored Procedure</w:t>
            </w:r>
          </w:p>
        </w:tc>
        <w:tc>
          <w:tcPr>
            <w:tcW w:type="dxa" w:w="2340"/>
            <w:shd w:fill="0F172A"/>
          </w:tcPr>
          <w:p>
            <w:pPr>
              <w:spacing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Underlying Object</w:t>
            </w:r>
          </w:p>
        </w:tc>
        <w:tc>
          <w:tcPr>
            <w:tcW w:type="dxa" w:w="2340"/>
            <w:shd w:fill="0F172A"/>
          </w:tcPr>
          <w:p>
            <w:pPr>
              <w:spacing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Execution Latency</w:t>
            </w:r>
          </w:p>
        </w:tc>
        <w:tc>
          <w:tcPr>
            <w:tcW w:type="dxa" w:w="2340"/>
            <w:shd w:fill="0F172A"/>
          </w:tcPr>
          <w:p>
            <w:pPr>
              <w:spacing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Operational Description</w:t>
            </w:r>
          </w:p>
        </w:tc>
      </w:tr>
      <w:tr>
        <w:tc>
          <w:tcPr>
            <w:tcW w:type="dxa" w:w="3168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0F172A"/>
                <w:sz w:val="19"/>
              </w:rPr>
              <w:t>dbo.usp_SalesDashboard_Summary</w:t>
            </w:r>
          </w:p>
        </w:tc>
        <w:tc>
          <w:tcPr>
            <w:tcW w:type="dxa" w:w="2160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0F172A"/>
                <w:sz w:val="19"/>
              </w:rPr>
              <w:t>SummaryCache</w:t>
            </w:r>
          </w:p>
        </w:tc>
        <w:tc>
          <w:tcPr>
            <w:tcW w:type="dxa" w:w="1584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0F172A"/>
                <w:sz w:val="19"/>
              </w:rPr>
              <w:t>&lt; 5 ms</w:t>
            </w:r>
          </w:p>
        </w:tc>
        <w:tc>
          <w:tcPr>
            <w:tcW w:type="dxa" w:w="2448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0F172A"/>
                <w:sz w:val="19"/>
              </w:rPr>
              <w:t>Returns executive headline KPIs: Total Sales, Sold Count, Listing Count, Total Revenue Volume, Average Sale Price.</w:t>
            </w:r>
          </w:p>
        </w:tc>
      </w:tr>
      <w:tr>
        <w:tc>
          <w:tcPr>
            <w:tcW w:type="dxa" w:w="3168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0F172A"/>
                <w:sz w:val="19"/>
              </w:rPr>
              <w:t>dbo.usp_SalesDashboard_County</w:t>
            </w:r>
          </w:p>
        </w:tc>
        <w:tc>
          <w:tcPr>
            <w:tcW w:type="dxa" w:w="2160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0F172A"/>
                <w:sz w:val="19"/>
              </w:rPr>
              <w:t>CountyCache</w:t>
            </w:r>
          </w:p>
        </w:tc>
        <w:tc>
          <w:tcPr>
            <w:tcW w:type="dxa" w:w="1584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0F172A"/>
                <w:sz w:val="19"/>
              </w:rPr>
              <w:t>&lt; 15 ms</w:t>
            </w:r>
          </w:p>
        </w:tc>
        <w:tc>
          <w:tcPr>
            <w:tcW w:type="dxa" w:w="2448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0F172A"/>
                <w:sz w:val="19"/>
              </w:rPr>
              <w:t>Serves 3,244 county rankings. Instantly calculates dynamically scaled volume when switching Sold vs Listing modes.</w:t>
            </w:r>
          </w:p>
        </w:tc>
      </w:tr>
      <w:tr>
        <w:tc>
          <w:tcPr>
            <w:tcW w:type="dxa" w:w="3168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0F172A"/>
                <w:sz w:val="19"/>
              </w:rPr>
              <w:t>dbo.usp_SalesDashboard_Recent</w:t>
            </w:r>
          </w:p>
        </w:tc>
        <w:tc>
          <w:tcPr>
            <w:tcW w:type="dxa" w:w="2160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0F172A"/>
                <w:sz w:val="19"/>
              </w:rPr>
              <w:t>vw_SalesDashboard_Base</w:t>
            </w:r>
          </w:p>
        </w:tc>
        <w:tc>
          <w:tcPr>
            <w:tcW w:type="dxa" w:w="1584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0F172A"/>
                <w:sz w:val="19"/>
              </w:rPr>
              <w:t>~ 120 ms</w:t>
            </w:r>
          </w:p>
        </w:tc>
        <w:tc>
          <w:tcPr>
            <w:tcW w:type="dxa" w:w="2448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0F172A"/>
                <w:sz w:val="19"/>
              </w:rPr>
              <w:t>Returns balanced 50 latest transactions (25 Sold + 25 Listings) with clustered B-tree backward seek on SID DESC.</w:t>
            </w:r>
          </w:p>
        </w:tc>
      </w:tr>
      <w:tr>
        <w:tc>
          <w:tcPr>
            <w:tcW w:type="dxa" w:w="3168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0F172A"/>
                <w:sz w:val="19"/>
              </w:rPr>
              <w:t>dbo.usp_SalesDashboard_Weekly</w:t>
            </w:r>
          </w:p>
        </w:tc>
        <w:tc>
          <w:tcPr>
            <w:tcW w:type="dxa" w:w="2160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0F172A"/>
                <w:sz w:val="19"/>
              </w:rPr>
              <w:t>vw_SalesDashboard_Base</w:t>
            </w:r>
          </w:p>
        </w:tc>
        <w:tc>
          <w:tcPr>
            <w:tcW w:type="dxa" w:w="1584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0F172A"/>
                <w:sz w:val="19"/>
              </w:rPr>
              <w:t>~ 300 ms</w:t>
            </w:r>
          </w:p>
        </w:tc>
        <w:tc>
          <w:tcPr>
            <w:tcW w:type="dxa" w:w="2448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0F172A"/>
                <w:sz w:val="19"/>
              </w:rPr>
              <w:t>Groups sales volume and transaction count across the rolling 12 weeks segregated by Source Group (CAD, MLS, FA, etc.).</w:t>
            </w:r>
          </w:p>
        </w:tc>
      </w:tr>
      <w:tr>
        <w:tc>
          <w:tcPr>
            <w:tcW w:type="dxa" w:w="3168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0F172A"/>
                <w:sz w:val="19"/>
              </w:rPr>
              <w:t>dbo.usp_SalesDashboard_Trend</w:t>
            </w:r>
          </w:p>
        </w:tc>
        <w:tc>
          <w:tcPr>
            <w:tcW w:type="dxa" w:w="2160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0F172A"/>
                <w:sz w:val="19"/>
              </w:rPr>
              <w:t>vw_SalesDashboard_Base</w:t>
            </w:r>
          </w:p>
        </w:tc>
        <w:tc>
          <w:tcPr>
            <w:tcW w:type="dxa" w:w="1584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0F172A"/>
                <w:sz w:val="19"/>
              </w:rPr>
              <w:t>~ 40 ms</w:t>
            </w:r>
          </w:p>
        </w:tc>
        <w:tc>
          <w:tcPr>
            <w:tcW w:type="dxa" w:w="2448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0F172A"/>
                <w:sz w:val="19"/>
              </w:rPr>
              <w:t>Provides 36-month chronological trajectory for volume, transactions, and average pricing.</w:t>
            </w:r>
          </w:p>
        </w:tc>
      </w:tr>
      <w:tr>
        <w:tc>
          <w:tcPr>
            <w:tcW w:type="dxa" w:w="3168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0F172A"/>
                <w:sz w:val="19"/>
              </w:rPr>
              <w:t>dbo.usp_SalesDashboard_SyncDelta</w:t>
            </w:r>
          </w:p>
        </w:tc>
        <w:tc>
          <w:tcPr>
            <w:tcW w:type="dxa" w:w="2160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0F172A"/>
                <w:sz w:val="19"/>
              </w:rPr>
              <w:t>Incremental Delta Engine</w:t>
            </w:r>
          </w:p>
        </w:tc>
        <w:tc>
          <w:tcPr>
            <w:tcW w:type="dxa" w:w="1584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0F172A"/>
                <w:sz w:val="19"/>
              </w:rPr>
              <w:t>~ 50 ms</w:t>
            </w:r>
          </w:p>
        </w:tc>
        <w:tc>
          <w:tcPr>
            <w:tcW w:type="dxa" w:w="2448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0F172A"/>
                <w:sz w:val="19"/>
              </w:rPr>
              <w:t>Background synchronization proc that detects new sales insertions, updates SummaryCache, and merges into CountyCache.</w:t>
            </w:r>
          </w:p>
        </w:tc>
      </w:tr>
    </w:tbl>
    <w:p>
      <w:pPr>
        <w:pStyle w:val="Heading1"/>
        <w:spacing w:before="320" w:after="120"/>
      </w:pPr>
      <w:r>
        <w:t>4. Real-Time Incremental Synchronization Engine</w:t>
      </w:r>
    </w:p>
    <w:p>
      <w:r>
        <w:t>A primary business requirement is that whenever new sales data flows into CSDB.dbo.Sales via automated ingestion pipelines, the dashboard must reflect updated counts and volumes immediately without requiring manual cache rebuilds.</w:t>
      </w:r>
    </w:p>
    <w:p>
      <w:pPr>
        <w:pStyle w:val="ListBullet"/>
      </w:pPr>
      <w:r>
        <w:t>How It Works under the Hood:</w:t>
      </w:r>
    </w:p>
    <w:p>
      <w:pPr>
        <w:pStyle w:val="ListBullet2"/>
        <w:spacing w:after="60"/>
      </w:pPr>
      <w:r>
        <w:t>Clustered Index Tracking: CSDB.dbo.Sales utilizes a BIGINT identity primary key (SID). Newly loaded transactions always receive the highest SID values.</w:t>
      </w:r>
    </w:p>
    <w:p>
      <w:pPr>
        <w:pStyle w:val="ListBullet2"/>
        <w:spacing w:after="60"/>
      </w:pPr>
      <w:r>
        <w:t>Lightweight Watermark Check: dbo.usp_SalesDashboard_SyncDelta checks MAX(SID) in CSDB.dbo.Sales against the tracked MaxSID in tbl_SalesDashboard_SummaryCache.</w:t>
      </w:r>
    </w:p>
    <w:p>
      <w:pPr>
        <w:pStyle w:val="ListBullet2"/>
        <w:spacing w:after="60"/>
      </w:pPr>
      <w:r>
        <w:t>Zero Full-Table Scanning: If MAX(SID) &gt; MaxSID, the engine only reads the newly inserted delta records (WHERE SID &gt; @CachedMaxSID). For 10,000 incoming records, this clustered seek executes in ~50 milliseconds.</w:t>
      </w:r>
    </w:p>
    <w:p>
      <w:pPr>
        <w:pStyle w:val="ListBullet2"/>
        <w:spacing w:after="60"/>
      </w:pPr>
      <w:r>
        <w:t>Atomic In-Memory &amp; Cache Merge: The delta count and volume are atomically added to tbl_SalesDashboard_SummaryCache, and merged into tbl_SalesDashboard_CountyCache via a SQL MERGE statement.</w:t>
      </w:r>
    </w:p>
    <w:p>
      <w:pPr>
        <w:pStyle w:val="ListBullet2"/>
        <w:spacing w:after="60"/>
      </w:pPr>
      <w:r>
        <w:t>Immediate Stream Visibility: In dbo.usp_SalesDashboard_Recent, sorting by SID DESC ensures the newly loaded records immediately appear at the top of the feed with 0 ms delay.</w:t>
      </w:r>
    </w:p>
    <w:p>
      <w:pPr>
        <w:pStyle w:val="Heading1"/>
        <w:spacing w:before="320" w:after="120"/>
      </w:pPr>
      <w:r>
        <w:t>5. Performance Benchmarks &amp; Optimization Results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172A"/>
          </w:tcPr>
          <w:p>
            <w:pPr>
              <w:spacing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Dashboard Operation</w:t>
            </w:r>
          </w:p>
        </w:tc>
        <w:tc>
          <w:tcPr>
            <w:tcW w:type="dxa" w:w="2340"/>
            <w:shd w:fill="0F172A"/>
          </w:tcPr>
          <w:p>
            <w:pPr>
              <w:spacing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Original Latency</w:t>
            </w:r>
          </w:p>
        </w:tc>
        <w:tc>
          <w:tcPr>
            <w:tcW w:type="dxa" w:w="2340"/>
            <w:shd w:fill="0F172A"/>
          </w:tcPr>
          <w:p>
            <w:pPr>
              <w:spacing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Optimized Latency</w:t>
            </w:r>
          </w:p>
        </w:tc>
        <w:tc>
          <w:tcPr>
            <w:tcW w:type="dxa" w:w="2340"/>
            <w:shd w:fill="0F172A"/>
          </w:tcPr>
          <w:p>
            <w:pPr>
              <w:spacing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Performance Gain</w:t>
            </w:r>
          </w:p>
        </w:tc>
      </w:tr>
      <w:tr>
        <w:tc>
          <w:tcPr>
            <w:tcW w:type="dxa" w:w="3600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0F172A"/>
                <w:sz w:val="19"/>
              </w:rPr>
              <w:t>Recent Transactions Query (50 rows)</w:t>
            </w:r>
          </w:p>
        </w:tc>
        <w:tc>
          <w:tcPr>
            <w:tcW w:type="dxa" w:w="2160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0F172A"/>
                <w:sz w:val="19"/>
              </w:rPr>
              <w:t>223.42 seconds (3.7 min)</w:t>
            </w:r>
          </w:p>
        </w:tc>
        <w:tc>
          <w:tcPr>
            <w:tcW w:type="dxa" w:w="1872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0F172A"/>
                <w:sz w:val="19"/>
              </w:rPr>
              <w:t>0.126 seconds (126 ms)</w:t>
            </w:r>
          </w:p>
        </w:tc>
        <w:tc>
          <w:tcPr>
            <w:tcW w:type="dxa" w:w="1728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0F172A"/>
                <w:sz w:val="19"/>
              </w:rPr>
              <w:t>1,773x Faster</w:t>
            </w:r>
          </w:p>
        </w:tc>
      </w:tr>
      <w:tr>
        <w:tc>
          <w:tcPr>
            <w:tcW w:type="dxa" w:w="3600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0F172A"/>
                <w:sz w:val="19"/>
              </w:rPr>
              <w:t>Recent Stream API Endpoint (/api/recent)</w:t>
            </w:r>
          </w:p>
        </w:tc>
        <w:tc>
          <w:tcPr>
            <w:tcW w:type="dxa" w:w="2160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0F172A"/>
                <w:sz w:val="19"/>
              </w:rPr>
              <w:t>230.00 seconds (Timeout)</w:t>
            </w:r>
          </w:p>
        </w:tc>
        <w:tc>
          <w:tcPr>
            <w:tcW w:type="dxa" w:w="1872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0F172A"/>
                <w:sz w:val="19"/>
              </w:rPr>
              <w:t>0.056 seconds (56 ms)</w:t>
            </w:r>
          </w:p>
        </w:tc>
        <w:tc>
          <w:tcPr>
            <w:tcW w:type="dxa" w:w="1728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0F172A"/>
                <w:sz w:val="19"/>
              </w:rPr>
              <w:t>4,100x Faster</w:t>
            </w:r>
          </w:p>
        </w:tc>
      </w:tr>
      <w:tr>
        <w:tc>
          <w:tcPr>
            <w:tcW w:type="dxa" w:w="3600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0F172A"/>
                <w:sz w:val="19"/>
              </w:rPr>
              <w:t>Full Consolidated Bundle (/api/all)</w:t>
            </w:r>
          </w:p>
        </w:tc>
        <w:tc>
          <w:tcPr>
            <w:tcW w:type="dxa" w:w="2160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0F172A"/>
                <w:sz w:val="19"/>
              </w:rPr>
              <w:t>Timed Out / Hanging</w:t>
            </w:r>
          </w:p>
        </w:tc>
        <w:tc>
          <w:tcPr>
            <w:tcW w:type="dxa" w:w="1872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0F172A"/>
                <w:sz w:val="19"/>
              </w:rPr>
              <w:t>6.28 seconds</w:t>
            </w:r>
          </w:p>
        </w:tc>
        <w:tc>
          <w:tcPr>
            <w:tcW w:type="dxa" w:w="1728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0F172A"/>
                <w:sz w:val="19"/>
              </w:rPr>
              <w:t>Instantaneous Concurrent Load</w:t>
            </w:r>
          </w:p>
        </w:tc>
      </w:tr>
      <w:tr>
        <w:tc>
          <w:tcPr>
            <w:tcW w:type="dxa" w:w="3600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0F172A"/>
                <w:sz w:val="19"/>
              </w:rPr>
              <w:t>County &amp; Regional Leaders Render</w:t>
            </w:r>
          </w:p>
        </w:tc>
        <w:tc>
          <w:tcPr>
            <w:tcW w:type="dxa" w:w="2160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0F172A"/>
                <w:sz w:val="19"/>
              </w:rPr>
              <w:t>Intermittent Empty State</w:t>
            </w:r>
          </w:p>
        </w:tc>
        <w:tc>
          <w:tcPr>
            <w:tcW w:type="dxa" w:w="1872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0F172A"/>
                <w:sz w:val="19"/>
              </w:rPr>
              <w:t>0.015 seconds (15 ms)</w:t>
            </w:r>
          </w:p>
        </w:tc>
        <w:tc>
          <w:tcPr>
            <w:tcW w:type="dxa" w:w="1728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0F172A"/>
                <w:sz w:val="19"/>
              </w:rPr>
              <w:t>Zero Blank Delays (Permanent Baseline)</w:t>
            </w:r>
          </w:p>
        </w:tc>
      </w:tr>
    </w:tbl>
    <w:p>
      <w:pPr>
        <w:pStyle w:val="Heading1"/>
        <w:spacing w:before="320" w:after="120"/>
      </w:pPr>
      <w:r>
        <w:t>6. Enterprise Security &amp; Office Network Deployment</w:t>
      </w:r>
    </w:p>
    <w:p>
      <w:pPr>
        <w:pStyle w:val="ListBullet"/>
        <w:spacing w:after="80"/>
      </w:pPr>
      <w:r>
        <w:t>Enterprise Windows Active Directory Authentication: User access is governed via Windows Integrated Authentication against domain ocnhou. Credentials are encrypted and validated against the AD controller.</w:t>
      </w:r>
    </w:p>
    <w:p>
      <w:pPr>
        <w:pStyle w:val="ListBullet"/>
        <w:spacing w:after="80"/>
      </w:pPr>
      <w:r>
        <w:t>Remote Client Auto-Detection: When colleagues access the dashboard from other office workstations or VPN, their active Windows session (firstname.lastname and Full Name) is automatically detected via network session querying (quser / Active Directory directory lookup) without requiring manual credential re-entry.</w:t>
      </w:r>
    </w:p>
    <w:p>
      <w:pPr>
        <w:pStyle w:val="ListBullet"/>
        <w:spacing w:after="80"/>
      </w:pPr>
      <w:r>
        <w:t>Production Database Protection: Live database CSDB is strictly accessed read-only with query-level WITH (NOLOCK) hints. The application executes zero schema modifications or write locks on production data.</w:t>
      </w:r>
    </w:p>
    <w:p>
      <w:pPr>
        <w:pStyle w:val="ListBullet"/>
        <w:spacing w:after="80"/>
      </w:pPr>
      <w:r>
        <w:t>Decoupled Service Hosting: The backend runs as a high-performance ASP.NET Core service bound to http://0.0.0.0:5137, while the React UI dev/production bundle is hosted on port 5173. The service operates independently on the office network (e.g., http://192.168.10.22:5173) without relying on any single personal laptop.</w:t>
      </w:r>
    </w:p>
    <w:p>
      <w:pPr>
        <w:pStyle w:val="Heading1"/>
        <w:spacing w:before="320" w:after="120"/>
      </w:pPr>
      <w:r>
        <w:t>7. User Interface (UI) Architecture &amp; Studio Feature Catalog</w:t>
      </w:r>
    </w:p>
    <w:p>
      <w:r>
        <w:t>The frontend presentation tier is engineered as an enterprise-grade, low-latency Single Page Application (SPA) built with React 19, TypeScript, and Vite. Designed under an Executive Dark Glassmorphism aesthetic, it provides instantaneous cross-jurisdictional intelligence across 33,114,355 live properties with zero external charting bloat.</w:t>
      </w:r>
    </w:p>
    <w:p>
      <w:pPr>
        <w:pStyle w:val="Heading2"/>
        <w:spacing w:before="240" w:after="80"/>
      </w:pPr>
      <w:r>
        <w:t>7.1 Executive Overview Studio Layout &amp; Core Modules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172A"/>
          </w:tcPr>
          <w:p>
            <w:pPr>
              <w:spacing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UI Component / Module</w:t>
            </w:r>
          </w:p>
        </w:tc>
        <w:tc>
          <w:tcPr>
            <w:tcW w:type="dxa" w:w="3120"/>
            <w:shd w:fill="0F172A"/>
          </w:tcPr>
          <w:p>
            <w:pPr>
              <w:spacing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Visual Structure &amp; Technology</w:t>
            </w:r>
          </w:p>
        </w:tc>
        <w:tc>
          <w:tcPr>
            <w:tcW w:type="dxa" w:w="3120"/>
            <w:shd w:fill="0F172A"/>
          </w:tcPr>
          <w:p>
            <w:pPr>
              <w:spacing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Functional Specification &amp; Live Telemetry</w:t>
            </w:r>
          </w:p>
        </w:tc>
      </w:tr>
      <w:tr>
        <w:tc>
          <w:tcPr>
            <w:tcW w:type="dxa" w:w="2592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0F172A"/>
                <w:sz w:val="19"/>
              </w:rPr>
              <w:t>Global Scope &amp; Header Bar</w:t>
            </w:r>
          </w:p>
        </w:tc>
        <w:tc>
          <w:tcPr>
            <w:tcW w:type="dxa" w:w="2592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0F172A"/>
                <w:sz w:val="19"/>
              </w:rPr>
              <w:t>Glassmorphic Header with Telemetry Badges</w:t>
            </w:r>
          </w:p>
        </w:tc>
        <w:tc>
          <w:tcPr>
            <w:tcW w:type="dxa" w:w="4176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0F172A"/>
                <w:sz w:val="19"/>
              </w:rPr>
              <w:t>Displays database connection status (fileprepdb, 13ms latency), active Windows user identity with full name (firstname.lastname), quick refresh, and theme toggle (Dark / Light).</w:t>
            </w:r>
          </w:p>
        </w:tc>
      </w:tr>
      <w:tr>
        <w:tc>
          <w:tcPr>
            <w:tcW w:type="dxa" w:w="2592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0F172A"/>
                <w:sz w:val="19"/>
              </w:rPr>
              <w:t>Portfolio Filter Bar</w:t>
            </w:r>
          </w:p>
        </w:tc>
        <w:tc>
          <w:tcPr>
            <w:tcW w:type="dxa" w:w="2592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0F172A"/>
                <w:sz w:val="19"/>
              </w:rPr>
              <w:t>Pill Selector with Status Counters</w:t>
            </w:r>
          </w:p>
        </w:tc>
        <w:tc>
          <w:tcPr>
            <w:tcW w:type="dxa" w:w="4176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0F172A"/>
                <w:sz w:val="19"/>
              </w:rPr>
              <w:t>Provides 1-click toggling between All Portfolio (33.11M), Sold Records (28.49M, 86.0%), and Active Listings (4.63M, 14.0%). Dynamically scales volume multipliers across all sub-components.</w:t>
            </w:r>
          </w:p>
        </w:tc>
      </w:tr>
      <w:tr>
        <w:tc>
          <w:tcPr>
            <w:tcW w:type="dxa" w:w="2592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0F172A"/>
                <w:sz w:val="19"/>
              </w:rPr>
              <w:t>Executive KPI Summary Grid</w:t>
            </w:r>
          </w:p>
        </w:tc>
        <w:tc>
          <w:tcPr>
            <w:tcW w:type="dxa" w:w="2592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0F172A"/>
                <w:sz w:val="19"/>
              </w:rPr>
              <w:t>5 High-Impact Metric Cards</w:t>
            </w:r>
          </w:p>
        </w:tc>
        <w:tc>
          <w:tcPr>
            <w:tcW w:type="dxa" w:w="4176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0F172A"/>
                <w:sz w:val="19"/>
              </w:rPr>
              <w:t>Presents Total Records (33.11M), Sold Properties (28.49M), Active Listings (4.63M), Gross Sales Volume ($31.58 Trillion), and Average Sale Price ($953,803) with exact database formatting.</w:t>
            </w:r>
          </w:p>
        </w:tc>
      </w:tr>
      <w:tr>
        <w:tc>
          <w:tcPr>
            <w:tcW w:type="dxa" w:w="2592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0F172A"/>
                <w:sz w:val="19"/>
              </w:rPr>
              <w:t>Historical Sales Trajectory</w:t>
            </w:r>
          </w:p>
        </w:tc>
        <w:tc>
          <w:tcPr>
            <w:tcW w:type="dxa" w:w="2592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0F172A"/>
                <w:sz w:val="19"/>
              </w:rPr>
              <w:t>Interactive 36-Month Area Chart</w:t>
            </w:r>
          </w:p>
        </w:tc>
        <w:tc>
          <w:tcPr>
            <w:tcW w:type="dxa" w:w="4176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0F172A"/>
                <w:sz w:val="19"/>
              </w:rPr>
              <w:t>Visualizes multi-year sales volume curves, monthly transaction counts, average prices, and historical peak month detection (April 2024 with 431,970 records and $556.25B volume).</w:t>
            </w:r>
          </w:p>
        </w:tc>
      </w:tr>
      <w:tr>
        <w:tc>
          <w:tcPr>
            <w:tcW w:type="dxa" w:w="2592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0F172A"/>
                <w:sz w:val="19"/>
              </w:rPr>
              <w:t>Property Type Distribution Studio</w:t>
            </w:r>
          </w:p>
        </w:tc>
        <w:tc>
          <w:tcPr>
            <w:tcW w:type="dxa" w:w="2592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0F172A"/>
                <w:sz w:val="19"/>
              </w:rPr>
              <w:t>Custom Mathematical SVG Donut &amp; Sector Cards</w:t>
            </w:r>
          </w:p>
        </w:tc>
        <w:tc>
          <w:tcPr>
            <w:tcW w:type="dxa" w:w="4176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0F172A"/>
                <w:sz w:val="19"/>
              </w:rPr>
              <w:t>Interactive donut chart with glowing SVG arcs and 4-sector breakdown: Single Family (72.4%), Condominiums &amp; Townhomes (18.2%), Commercial &amp; Multi-Family (6.8%), and Vacant Land (2.6%). Features real-time slice hover, volume estimation, and a 1-click collapse/expand state toggle.</w:t>
            </w:r>
          </w:p>
        </w:tc>
      </w:tr>
      <w:tr>
        <w:tc>
          <w:tcPr>
            <w:tcW w:type="dxa" w:w="2592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0F172A"/>
                <w:sz w:val="19"/>
              </w:rPr>
              <w:t>Regional Leaders &amp; Recent Stream</w:t>
            </w:r>
          </w:p>
        </w:tc>
        <w:tc>
          <w:tcPr>
            <w:tcW w:type="dxa" w:w="2592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0F172A"/>
                <w:sz w:val="19"/>
              </w:rPr>
              <w:t>Two-Column Comparative Grid</w:t>
            </w:r>
          </w:p>
        </w:tc>
        <w:tc>
          <w:tcPr>
            <w:tcW w:type="dxa" w:w="4176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0F172A"/>
                <w:sz w:val="19"/>
              </w:rPr>
              <w:t>Left Column: Top 5 counties (Cook, Harris, Bexar, Tarrant, Dallas) ranked with proportional progress bars. Right Column: Real-time stream of latest 50 transactions with live SID, County, State, Price, and Sold vs Listing badges.</w:t>
            </w:r>
          </w:p>
        </w:tc>
      </w:tr>
    </w:tbl>
    <w:p>
      <w:pPr>
        <w:pStyle w:val="Heading2"/>
        <w:spacing w:before="240" w:after="80"/>
      </w:pPr>
      <w:r>
        <w:t>7.2 Dedicated Specialized Studios</w:t>
      </w:r>
    </w:p>
    <w:p>
      <w:pPr>
        <w:pStyle w:val="ListBullet"/>
        <w:spacing w:after="60"/>
      </w:pPr>
      <w:r>
        <w:t>Geographic &amp; Map Studio: Full interactive nationwide map spanning all 50 US states and all 3,244 county jurisdictions with choropleth heatmaps, volume scaling, and direct county-level drilldown.</w:t>
      </w:r>
    </w:p>
    <w:p>
      <w:pPr>
        <w:pStyle w:val="ListBullet"/>
        <w:spacing w:after="60"/>
      </w:pPr>
      <w:r>
        <w:t>Sales Trends Studio: Chronological 36-month monthly trajectory metrics with Year-over-Year (YoY) comparatives and volume distribution curves.</w:t>
      </w:r>
    </w:p>
    <w:p>
      <w:pPr>
        <w:pStyle w:val="ListBullet"/>
        <w:spacing w:after="60"/>
      </w:pPr>
      <w:r>
        <w:t>Recent Orders Studio: Live tabular transaction log displaying latest balanced transactions (25 Sold + 25 Active Listings) with direct CSV / JSON export capabilities.</w:t>
      </w:r>
    </w:p>
    <w:p>
      <w:pPr>
        <w:pStyle w:val="ListBullet"/>
        <w:spacing w:after="60"/>
      </w:pPr>
      <w:r>
        <w:t>KPI Summary Studio: Multi-dimensional jurisdictional drilldown supporting hierarchical filtering by State, County, and Year (1950 - Present), accompanied by an embedded SQL schema and JSON inspector.</w:t>
      </w:r>
    </w:p>
    <w:p>
      <w:pPr>
        <w:pStyle w:val="ListBullet"/>
        <w:spacing w:after="60"/>
      </w:pPr>
      <w:r>
        <w:t>Weekly Velocity Studio: Rolling 12-week sales velocity monitor categorized by Source Group (CAD, MLS, First American, Comptroller, CSR) for operational throughput tracking.</w:t>
      </w:r>
    </w:p>
    <w:p>
      <w:pPr>
        <w:pStyle w:val="Heading2"/>
        <w:spacing w:before="240" w:after="80"/>
      </w:pPr>
      <w:r>
        <w:t>7.3 Visual Design System &amp; Technology Principles</w:t>
      </w:r>
    </w:p>
    <w:p>
      <w:pPr>
        <w:pStyle w:val="ListBullet"/>
        <w:spacing w:after="60"/>
      </w:pPr>
      <w:r>
        <w:t>Pure Vector Graphics Engine: All charts (Donut, Area Curves, Geographic Map) are rendered using optimized mathematical SVG and CSS animations, avoiding heavy external charting libraries for instant 60 FPS performance.</w:t>
      </w:r>
    </w:p>
    <w:p>
      <w:pPr>
        <w:pStyle w:val="ListBullet"/>
        <w:spacing w:after="60"/>
      </w:pPr>
      <w:r>
        <w:t>Universal State Synchronization: Filter selections (All / Sold / Listing) immediately cascade throughout all dashboard tiles, charts, and drilldowns with zero page reload.</w:t>
      </w:r>
    </w:p>
    <w:p>
      <w:pPr>
        <w:pStyle w:val="ListBullet"/>
        <w:spacing w:after="60"/>
      </w:pPr>
      <w:r>
        <w:t>Zero Client Footprint: Runs entirely in modern browsers (Edge, Chrome, Firefox) without requiring local client installations, specialized plugins, or administrative privileges.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