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A365D"/>
          <w:sz w:val="40"/>
        </w:rPr>
        <w:t>Apartment Texas Sales Database Audit Report</w:t>
      </w:r>
    </w:p>
    <w:p>
      <w:pPr>
        <w:spacing w:after="160"/>
      </w:pPr>
      <w:r>
        <w:rPr>
          <w:rFonts w:ascii="Calibri" w:hAnsi="Calibri"/>
          <w:color w:val="2B6CB0"/>
          <w:sz w:val="23"/>
        </w:rPr>
        <w:t>Audit of [TaxrollStaging].[dbo].[300MM_Apartment_Texas_Sales] | Server: fileprepdb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365D"/>
                <w:sz w:val="18"/>
              </w:rPr>
              <w:t>Server &amp; Database:</w:t>
            </w:r>
            <w:r>
              <w:rPr>
                <w:rFonts w:ascii="Calibri" w:hAnsi="Calibri"/>
                <w:color w:val="2D3748"/>
                <w:sz w:val="18"/>
              </w:rPr>
              <w:t xml:space="preserve"> fileprepdb / TaxrollStaging</w:t>
            </w:r>
          </w:p>
        </w:tc>
        <w:tc>
          <w:tcPr>
            <w:tcW w:type="dxa" w:w="5040"/>
            <w:shd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365D"/>
                <w:sz w:val="18"/>
              </w:rPr>
              <w:t>Target Table:</w:t>
            </w:r>
            <w:r>
              <w:rPr>
                <w:rFonts w:ascii="Calibri" w:hAnsi="Calibri"/>
                <w:color w:val="2D3748"/>
                <w:sz w:val="18"/>
              </w:rPr>
              <w:t xml:space="preserve"> dbo.[300MM_Apartment_Texas_Sales]</w:t>
            </w:r>
          </w:p>
        </w:tc>
      </w:tr>
      <w:tr>
        <w:tc>
          <w:tcPr>
            <w:tcW w:type="dxa" w:w="5040"/>
            <w:shd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365D"/>
                <w:sz w:val="18"/>
              </w:rPr>
              <w:t>Total Records / Schema:</w:t>
            </w:r>
            <w:r>
              <w:rPr>
                <w:rFonts w:ascii="Calibri" w:hAnsi="Calibri"/>
                <w:color w:val="2D3748"/>
                <w:sz w:val="18"/>
              </w:rPr>
              <w:t xml:space="preserve"> 878,749 Rows / 43 Columns</w:t>
            </w:r>
          </w:p>
        </w:tc>
        <w:tc>
          <w:tcPr>
            <w:tcW w:type="dxa" w:w="5040"/>
            <w:shd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365D"/>
                <w:sz w:val="18"/>
              </w:rPr>
              <w:t>Audit Focus:</w:t>
            </w:r>
            <w:r>
              <w:rPr>
                <w:rFonts w:ascii="Calibri" w:hAnsi="Calibri"/>
                <w:color w:val="2D3748"/>
                <w:sz w:val="18"/>
              </w:rPr>
              <w:t xml:space="preserve"> Apartment Sales Validation, ED &amp; Overlap Status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left w:val="single" w:sz="24" w:space="0" w:color="E53E3E"/>
              <w:top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C53030"/>
                <w:sz w:val="21"/>
              </w:rPr>
              <w:t>EXECUTIVE AUDIT SUMMARY - CRITICAL FINDINGS:</w:t>
              <w:br/>
            </w:r>
            <w:r>
              <w:rPr>
                <w:rFonts w:ascii="Calibri" w:hAnsi="Calibri"/>
                <w:color w:val="2D3748"/>
                <w:sz w:val="18"/>
              </w:rPr>
              <w:t>Audit of dbo.[300MM_Apartment_Texas_Sales] on fileprepdb confirms that this table does NOT contain closed apartment sales transactions. Five critical findings require immediate teammate review:</w:t>
              <w:br/>
            </w:r>
          </w:p>
          <w:p>
            <w:pPr>
              <w:pStyle w:val="ListBullet"/>
              <w:spacing w:before="0" w:after="40"/>
            </w:pPr>
            <w:r>
              <w:rPr>
                <w:rFonts w:ascii="Calibri" w:hAnsi="Calibri"/>
                <w:color w:val="2D3748"/>
                <w:sz w:val="18"/>
              </w:rPr>
              <w:t>99.9997% of records have NO sold price: 'last_sold_price' is NULL for 878,746 out of 878,749 rows. Exactly 3 rows have a price, and none of them are apartments.</w:t>
            </w:r>
          </w:p>
          <w:p>
            <w:pPr>
              <w:pStyle w:val="ListBullet"/>
              <w:spacing w:before="0" w:after="40"/>
            </w:pPr>
            <w:r>
              <w:rPr>
                <w:rFonts w:ascii="Calibri" w:hAnsi="Calibri"/>
                <w:color w:val="2D3748"/>
                <w:sz w:val="18"/>
              </w:rPr>
              <w:t>90.55% of the table is Single-Family Houses (795,719 rows), while apartments represent only 0.24% (2,129 rows).</w:t>
            </w:r>
          </w:p>
          <w:p>
            <w:pPr>
              <w:pStyle w:val="ListBullet"/>
              <w:spacing w:before="0" w:after="40"/>
            </w:pPr>
            <w:r>
              <w:rPr>
                <w:rFonts w:ascii="Calibri" w:hAnsi="Calibri"/>
                <w:color w:val="2D3748"/>
                <w:sz w:val="18"/>
              </w:rPr>
              <w:t>Source Origin: Scraped from consumer listing portals (Redfin/Zillow) in a Texas non-disclosure market where closed sold prices are legally suppressed.</w:t>
            </w:r>
          </w:p>
          <w:p>
            <w:pPr>
              <w:pStyle w:val="ListBullet"/>
              <w:spacing w:before="0" w:after="40"/>
            </w:pPr>
            <w:r>
              <w:rPr>
                <w:rFonts w:ascii="Calibri" w:hAnsi="Calibri"/>
                <w:color w:val="2D3748"/>
                <w:sz w:val="18"/>
              </w:rPr>
              <w:t>SalesOverlapStatus confirms that 662,811 rows (75.43%) ALREADY EXIST in your master sales database (CollisionSID1 populated); only 75,454 rows are NEW_CANDIDATE records.</w:t>
            </w:r>
          </w:p>
          <w:p>
            <w:pPr>
              <w:pStyle w:val="ListBullet"/>
              <w:spacing w:before="0" w:after="40"/>
            </w:pPr>
            <w:r>
              <w:rPr>
                <w:rFonts w:ascii="Calibri" w:hAnsi="Calibri"/>
                <w:color w:val="2D3748"/>
                <w:sz w:val="18"/>
              </w:rPr>
              <w:t>Cross-Table Contamination: 62,037 properties appear in BOTH the Commercial table and the Apartment table simultaneously, because both ingested single-family homes.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A365D"/>
          <w:sz w:val="28"/>
        </w:rPr>
        <w:t>1. Macro Table Statistics &amp; Field Population Breakdown</w:t>
      </w:r>
    </w:p>
    <w:p>
      <w:pPr>
        <w:spacing w:before="0" w:after="60" w:line="276" w:lineRule="auto"/>
      </w:pPr>
      <w:r>
        <w:rPr>
          <w:rFonts w:ascii="Calibri" w:hAnsi="Calibri"/>
          <w:i w:val="0"/>
          <w:color w:val="2D3748"/>
          <w:sz w:val="19"/>
        </w:rPr>
        <w:t>Direct SQL analysis across all 878,749 rows reveals the following population metrics for pricing, dates, and property identifiers: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2B6CB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Audit Metric / Column</w:t>
            </w:r>
          </w:p>
        </w:tc>
        <w:tc>
          <w:tcPr>
            <w:tcW w:type="dxa" w:w="2520"/>
            <w:shd w:fill="2B6CB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SQL Logic / Column Key</w:t>
            </w:r>
          </w:p>
        </w:tc>
        <w:tc>
          <w:tcPr>
            <w:tcW w:type="dxa" w:w="2520"/>
            <w:shd w:fill="2B6CB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Record Count</w:t>
            </w:r>
          </w:p>
        </w:tc>
        <w:tc>
          <w:tcPr>
            <w:tcW w:type="dxa" w:w="2520"/>
            <w:shd w:fill="2B6CB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% of Database</w:t>
            </w:r>
          </w:p>
        </w:tc>
      </w:tr>
      <w:tr>
        <w:tc>
          <w:tcPr>
            <w:tcW w:type="dxa" w:w="25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Total Properties in Table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COUNT(*)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17"/>
              </w:rPr>
              <w:t>878,749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17"/>
              </w:rPr>
              <w:t>100.000%</w:t>
            </w:r>
          </w:p>
        </w:tc>
      </w:tr>
      <w:tr>
        <w:tc>
          <w:tcPr>
            <w:tcW w:type="dxa" w:w="2520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Missing Sold Price (NULL / Blank)</w:t>
            </w:r>
          </w:p>
        </w:tc>
        <w:tc>
          <w:tcPr>
            <w:tcW w:type="dxa" w:w="2520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last_sold_price IS NULL OR ''</w:t>
            </w:r>
          </w:p>
        </w:tc>
        <w:tc>
          <w:tcPr>
            <w:tcW w:type="dxa" w:w="2520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C53030"/>
                <w:sz w:val="17"/>
              </w:rPr>
              <w:t>878,746</w:t>
            </w:r>
          </w:p>
        </w:tc>
        <w:tc>
          <w:tcPr>
            <w:tcW w:type="dxa" w:w="2520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C53030"/>
                <w:sz w:val="17"/>
              </w:rPr>
              <w:t>99.9997%</w:t>
            </w:r>
          </w:p>
        </w:tc>
      </w:tr>
      <w:tr>
        <w:tc>
          <w:tcPr>
            <w:tcW w:type="dxa" w:w="25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Populated Sold Price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TRY_CAST(last_sold_price AS FLOAT) &gt; 10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17"/>
              </w:rPr>
              <w:t>0.0003%</w:t>
            </w:r>
          </w:p>
        </w:tc>
      </w:tr>
      <w:tr>
        <w:tc>
          <w:tcPr>
            <w:tcW w:type="dxa" w:w="2520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Populated List Price (Asking Price)</w:t>
            </w:r>
          </w:p>
        </w:tc>
        <w:tc>
          <w:tcPr>
            <w:tcW w:type="dxa" w:w="2520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TRY_CAST(list_price AS FLOAT) &gt; 10</w:t>
            </w:r>
          </w:p>
        </w:tc>
        <w:tc>
          <w:tcPr>
            <w:tcW w:type="dxa" w:w="2520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17"/>
              </w:rPr>
              <w:t>149,470</w:t>
            </w:r>
          </w:p>
        </w:tc>
        <w:tc>
          <w:tcPr>
            <w:tcW w:type="dxa" w:w="2520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17"/>
              </w:rPr>
              <w:t>17.009%</w:t>
            </w:r>
          </w:p>
        </w:tc>
      </w:tr>
      <w:tr>
        <w:tc>
          <w:tcPr>
            <w:tcW w:type="dxa" w:w="25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Valid Sold Dates (Actual Dates)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last_sold_date NOT LIKE '1900-%'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17"/>
              </w:rPr>
              <w:t>818,284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17"/>
              </w:rPr>
              <w:t>93.119%</w:t>
            </w:r>
          </w:p>
        </w:tc>
      </w:tr>
      <w:tr>
        <w:tc>
          <w:tcPr>
            <w:tcW w:type="dxa" w:w="2520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Dummy Sold Dates (1900-01-01)</w:t>
            </w:r>
          </w:p>
        </w:tc>
        <w:tc>
          <w:tcPr>
            <w:tcW w:type="dxa" w:w="2520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last_sold_date LIKE '1900-%'</w:t>
            </w:r>
          </w:p>
        </w:tc>
        <w:tc>
          <w:tcPr>
            <w:tcW w:type="dxa" w:w="2520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17"/>
              </w:rPr>
              <w:t>60,465</w:t>
            </w:r>
          </w:p>
        </w:tc>
        <w:tc>
          <w:tcPr>
            <w:tcW w:type="dxa" w:w="2520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17"/>
              </w:rPr>
              <w:t>6.881%</w:t>
            </w:r>
          </w:p>
        </w:tc>
      </w:tr>
      <w:tr>
        <w:tc>
          <w:tcPr>
            <w:tcW w:type="dxa" w:w="25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Populated Account Number (parcel_apn)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parcel_apn IS NOT NULL AND != ''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A365D"/>
                <w:sz w:val="17"/>
              </w:rPr>
              <w:t>828,435</w:t>
            </w:r>
          </w:p>
        </w:tc>
        <w:tc>
          <w:tcPr>
            <w:tcW w:type="dxa" w:w="25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A365D"/>
                <w:sz w:val="17"/>
              </w:rPr>
              <w:t>94.274%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A365D"/>
          <w:sz w:val="28"/>
        </w:rPr>
        <w:t>2. Property Classification Audit: The Apartment Misnomer</w:t>
      </w:r>
    </w:p>
    <w:p>
      <w:pPr>
        <w:spacing w:before="0" w:after="60" w:line="276" w:lineRule="auto"/>
      </w:pPr>
      <w:r>
        <w:rPr>
          <w:rFonts w:ascii="Calibri" w:hAnsi="Calibri"/>
          <w:i w:val="0"/>
          <w:color w:val="2D3748"/>
          <w:sz w:val="19"/>
        </w:rPr>
        <w:t>Querying the actual 'property_type' column shows that single-family residential homes represent over 90% of the entire table: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2B6CB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Property Type (property_type)</w:t>
            </w:r>
          </w:p>
        </w:tc>
        <w:tc>
          <w:tcPr>
            <w:tcW w:type="dxa" w:w="2016"/>
            <w:shd w:fill="2B6CB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Row Count</w:t>
            </w:r>
          </w:p>
        </w:tc>
        <w:tc>
          <w:tcPr>
            <w:tcW w:type="dxa" w:w="2016"/>
            <w:shd w:fill="2B6CB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% of Table</w:t>
            </w:r>
          </w:p>
        </w:tc>
        <w:tc>
          <w:tcPr>
            <w:tcW w:type="dxa" w:w="2016"/>
            <w:shd w:fill="2B6CB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Sold Prices &gt; $10</w:t>
            </w:r>
          </w:p>
        </w:tc>
        <w:tc>
          <w:tcPr>
            <w:tcW w:type="dxa" w:w="2016"/>
            <w:shd w:fill="2B6CB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Category Assessment</w:t>
            </w:r>
          </w:p>
        </w:tc>
      </w:tr>
      <w:tr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C53030"/>
                <w:sz w:val="17"/>
              </w:rPr>
              <w:t>single_family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C53030"/>
                <w:sz w:val="17"/>
              </w:rPr>
              <w:t>795,719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C53030"/>
                <w:sz w:val="17"/>
              </w:rPr>
              <w:t>90.55%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C53030"/>
                <w:sz w:val="17"/>
              </w:rPr>
              <w:t>3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C53030"/>
                <w:sz w:val="17"/>
              </w:rPr>
              <w:t>Standard single-family detached homes</w:t>
            </w:r>
          </w:p>
        </w:tc>
      </w:tr>
      <w:tr>
        <w:tc>
          <w:tcPr>
            <w:tcW w:type="dxa" w:w="2016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townhouse</w:t>
            </w:r>
          </w:p>
        </w:tc>
        <w:tc>
          <w:tcPr>
            <w:tcW w:type="dxa" w:w="2016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17"/>
              </w:rPr>
              <w:t>23,686</w:t>
            </w:r>
          </w:p>
        </w:tc>
        <w:tc>
          <w:tcPr>
            <w:tcW w:type="dxa" w:w="2016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17"/>
              </w:rPr>
              <w:t>2.70%</w:t>
            </w:r>
          </w:p>
        </w:tc>
        <w:tc>
          <w:tcPr>
            <w:tcW w:type="dxa" w:w="2016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2016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Residential attached townhomes</w:t>
            </w:r>
          </w:p>
        </w:tc>
      </w:tr>
      <w:tr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condo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17"/>
              </w:rPr>
              <w:t>22,113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17"/>
              </w:rPr>
              <w:t>2.52%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Individual residential condominiums</w:t>
            </w:r>
          </w:p>
        </w:tc>
      </w:tr>
      <w:tr>
        <w:tc>
          <w:tcPr>
            <w:tcW w:type="dxa" w:w="2016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manufactured</w:t>
            </w:r>
          </w:p>
        </w:tc>
        <w:tc>
          <w:tcPr>
            <w:tcW w:type="dxa" w:w="2016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17"/>
              </w:rPr>
              <w:t>16,616</w:t>
            </w:r>
          </w:p>
        </w:tc>
        <w:tc>
          <w:tcPr>
            <w:tcW w:type="dxa" w:w="2016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17"/>
              </w:rPr>
              <w:t>1.89%</w:t>
            </w:r>
          </w:p>
        </w:tc>
        <w:tc>
          <w:tcPr>
            <w:tcW w:type="dxa" w:w="2016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2016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Manufactured and mobile homes</w:t>
            </w:r>
          </w:p>
        </w:tc>
      </w:tr>
      <w:tr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multi_family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17"/>
              </w:rPr>
              <w:t>11,521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17"/>
              </w:rPr>
              <w:t>1.31%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Duplexes, triplexes, 4-plexes</w:t>
            </w:r>
          </w:p>
        </w:tc>
      </w:tr>
      <w:tr>
        <w:tc>
          <w:tcPr>
            <w:tcW w:type="dxa" w:w="2016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land</w:t>
            </w:r>
          </w:p>
        </w:tc>
        <w:tc>
          <w:tcPr>
            <w:tcW w:type="dxa" w:w="2016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17"/>
              </w:rPr>
              <w:t>6,043</w:t>
            </w:r>
          </w:p>
        </w:tc>
        <w:tc>
          <w:tcPr>
            <w:tcW w:type="dxa" w:w="2016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17"/>
              </w:rPr>
              <w:t>0.69%</w:t>
            </w:r>
          </w:p>
        </w:tc>
        <w:tc>
          <w:tcPr>
            <w:tcW w:type="dxa" w:w="2016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2016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Vacant residential/commercial lots</w:t>
            </w:r>
          </w:p>
        </w:tc>
      </w:tr>
      <w:tr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365D"/>
                <w:sz w:val="17"/>
              </w:rPr>
              <w:t>apartment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A365D"/>
                <w:sz w:val="17"/>
              </w:rPr>
              <w:t>2,129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A365D"/>
                <w:sz w:val="17"/>
              </w:rPr>
              <w:t>0.24%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A365D"/>
                <w:sz w:val="17"/>
              </w:rPr>
              <w:t>0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365D"/>
                <w:sz w:val="17"/>
              </w:rPr>
              <w:t>Commercial apartment buildings/units</w:t>
            </w:r>
          </w:p>
        </w:tc>
      </w:tr>
      <w:tr>
        <w:tc>
          <w:tcPr>
            <w:tcW w:type="dxa" w:w="2016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other</w:t>
            </w:r>
          </w:p>
        </w:tc>
        <w:tc>
          <w:tcPr>
            <w:tcW w:type="dxa" w:w="2016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17"/>
              </w:rPr>
              <w:t>922</w:t>
            </w:r>
          </w:p>
        </w:tc>
        <w:tc>
          <w:tcPr>
            <w:tcW w:type="dxa" w:w="2016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17"/>
              </w:rPr>
              <w:t>0.10%</w:t>
            </w:r>
          </w:p>
        </w:tc>
        <w:tc>
          <w:tcPr>
            <w:tcW w:type="dxa" w:w="2016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2016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Miscellaneous property types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A365D"/>
          <w:sz w:val="28"/>
        </w:rPr>
        <w:t>3. Deep-Dive Audit of the 2,129 'Apartment' Records</w:t>
      </w:r>
    </w:p>
    <w:p>
      <w:pPr>
        <w:spacing w:before="0" w:after="60" w:line="276" w:lineRule="auto"/>
      </w:pPr>
      <w:r>
        <w:rPr>
          <w:rFonts w:ascii="Calibri" w:hAnsi="Calibri"/>
          <w:i w:val="0"/>
          <w:color w:val="2D3748"/>
          <w:sz w:val="19"/>
        </w:rPr>
        <w:t>Isolating the 2,129 properties explicitly flagged as 'apartment' demonstrates: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2D3748"/>
          <w:sz w:val="18"/>
        </w:rPr>
        <w:t xml:space="preserve">Sold Price Availability: </w:t>
      </w:r>
      <w:r>
        <w:rPr>
          <w:rFonts w:ascii="Calibri" w:hAnsi="Calibri"/>
          <w:color w:val="2D3748"/>
          <w:sz w:val="18"/>
        </w:rPr>
        <w:t>0 out of 2,129 apartment records have a recorded sold price in last_sold_price.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2D3748"/>
          <w:sz w:val="18"/>
        </w:rPr>
        <w:t xml:space="preserve">List Price Availability: </w:t>
      </w:r>
      <w:r>
        <w:rPr>
          <w:rFonts w:ascii="Calibri" w:hAnsi="Calibri"/>
          <w:color w:val="2D3748"/>
          <w:sz w:val="18"/>
        </w:rPr>
        <w:t>0 out of 2,129 apartment records have an active list price in list_price.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2D3748"/>
          <w:sz w:val="18"/>
        </w:rPr>
        <w:t xml:space="preserve">Account Numbers: </w:t>
      </w:r>
      <w:r>
        <w:rPr>
          <w:rFonts w:ascii="Calibri" w:hAnsi="Calibri"/>
          <w:color w:val="2D3748"/>
          <w:sz w:val="18"/>
        </w:rPr>
        <w:t>1,582 records (74.3%) possess an account number (parcel_apn).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2D3748"/>
          <w:sz w:val="18"/>
        </w:rPr>
        <w:t xml:space="preserve">EDPropertyID Linkage: </w:t>
      </w:r>
      <w:r>
        <w:rPr>
          <w:rFonts w:ascii="Calibri" w:hAnsi="Calibri"/>
          <w:color w:val="2D3748"/>
          <w:sz w:val="18"/>
        </w:rPr>
        <w:t>1,300 records (61.1%) successfully matched to an internal EDPropertyID.</w:t>
      </w:r>
    </w:p>
    <w:p>
      <w:pPr>
        <w:keepNext/>
        <w:spacing w:before="280" w:after="80"/>
      </w:pPr>
      <w:r>
        <w:rPr>
          <w:rFonts w:ascii="Calibri" w:hAnsi="Calibri"/>
          <w:b/>
          <w:color w:val="1A365D"/>
          <w:sz w:val="28"/>
        </w:rPr>
        <w:t>4. SalesOverlapStatus Analysis &amp; Master Ingestion Collision</w:t>
      </w:r>
    </w:p>
    <w:p>
      <w:pPr>
        <w:spacing w:before="0" w:after="60" w:line="276" w:lineRule="auto"/>
      </w:pPr>
      <w:r>
        <w:rPr>
          <w:rFonts w:ascii="Calibri" w:hAnsi="Calibri"/>
          <w:i w:val="0"/>
          <w:color w:val="2D3748"/>
          <w:sz w:val="19"/>
        </w:rPr>
        <w:t>The 'SalesOverlapStatus' column reflects the collision check against your Master Sales Database: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2B6CB0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SalesOverlapStatus</w:t>
            </w:r>
          </w:p>
        </w:tc>
        <w:tc>
          <w:tcPr>
            <w:tcW w:type="dxa" w:w="1680"/>
            <w:shd w:fill="2B6CB0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Row Count</w:t>
            </w:r>
          </w:p>
        </w:tc>
        <w:tc>
          <w:tcPr>
            <w:tcW w:type="dxa" w:w="1680"/>
            <w:shd w:fill="2B6CB0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% of Table</w:t>
            </w:r>
          </w:p>
        </w:tc>
        <w:tc>
          <w:tcPr>
            <w:tcW w:type="dxa" w:w="1680"/>
            <w:shd w:fill="2B6CB0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Populated List Price</w:t>
            </w:r>
          </w:p>
        </w:tc>
        <w:tc>
          <w:tcPr>
            <w:tcW w:type="dxa" w:w="1680"/>
            <w:shd w:fill="2B6CB0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Has CollisionSID1</w:t>
            </w:r>
          </w:p>
        </w:tc>
        <w:tc>
          <w:tcPr>
            <w:tcW w:type="dxa" w:w="1680"/>
            <w:shd w:fill="2B6CB0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Pipeline Interpretation</w:t>
            </w:r>
          </w:p>
        </w:tc>
      </w:tr>
      <w:tr>
        <w:tc>
          <w:tcPr>
            <w:tcW w:type="dxa" w:w="168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C53030"/>
                <w:sz w:val="16"/>
              </w:rPr>
              <w:t>ALREADY_AVAILABLE</w:t>
            </w:r>
          </w:p>
        </w:tc>
        <w:tc>
          <w:tcPr>
            <w:tcW w:type="dxa" w:w="168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16"/>
              </w:rPr>
              <w:t>662,811</w:t>
            </w:r>
          </w:p>
        </w:tc>
        <w:tc>
          <w:tcPr>
            <w:tcW w:type="dxa" w:w="168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16"/>
              </w:rPr>
              <w:t>75.43%</w:t>
            </w:r>
          </w:p>
        </w:tc>
        <w:tc>
          <w:tcPr>
            <w:tcW w:type="dxa" w:w="168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16"/>
              </w:rPr>
              <w:t>80,235</w:t>
            </w:r>
          </w:p>
        </w:tc>
        <w:tc>
          <w:tcPr>
            <w:tcW w:type="dxa" w:w="168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16"/>
              </w:rPr>
              <w:t>662,811 (100%)</w:t>
            </w:r>
          </w:p>
        </w:tc>
        <w:tc>
          <w:tcPr>
            <w:tcW w:type="dxa" w:w="168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Already in Master MLS/Sales database (CollisionSID1 populated)</w:t>
            </w:r>
          </w:p>
        </w:tc>
      </w:tr>
      <w:tr>
        <w:tc>
          <w:tcPr>
            <w:tcW w:type="dxa" w:w="1680"/>
            <w:shd w:fill="F7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[NULL / Blank]</w:t>
            </w:r>
          </w:p>
        </w:tc>
        <w:tc>
          <w:tcPr>
            <w:tcW w:type="dxa" w:w="1680"/>
            <w:shd w:fill="F7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16"/>
              </w:rPr>
              <w:t>137,194</w:t>
            </w:r>
          </w:p>
        </w:tc>
        <w:tc>
          <w:tcPr>
            <w:tcW w:type="dxa" w:w="1680"/>
            <w:shd w:fill="F7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16"/>
              </w:rPr>
              <w:t>15.61%</w:t>
            </w:r>
          </w:p>
        </w:tc>
        <w:tc>
          <w:tcPr>
            <w:tcW w:type="dxa" w:w="1680"/>
            <w:shd w:fill="F7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16"/>
              </w:rPr>
              <w:t>18,808</w:t>
            </w:r>
          </w:p>
        </w:tc>
        <w:tc>
          <w:tcPr>
            <w:tcW w:type="dxa" w:w="1680"/>
            <w:shd w:fill="F7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16"/>
              </w:rPr>
              <w:t>0</w:t>
            </w:r>
          </w:p>
        </w:tc>
        <w:tc>
          <w:tcPr>
            <w:tcW w:type="dxa" w:w="1680"/>
            <w:shd w:fill="F7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Unprocessed / unmatched listing records</w:t>
            </w:r>
          </w:p>
        </w:tc>
      </w:tr>
      <w:tr>
        <w:tc>
          <w:tcPr>
            <w:tcW w:type="dxa" w:w="168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365D"/>
                <w:sz w:val="16"/>
              </w:rPr>
              <w:t>NEW_CANDIDATE</w:t>
            </w:r>
          </w:p>
        </w:tc>
        <w:tc>
          <w:tcPr>
            <w:tcW w:type="dxa" w:w="168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16"/>
              </w:rPr>
              <w:t>75,454</w:t>
            </w:r>
          </w:p>
        </w:tc>
        <w:tc>
          <w:tcPr>
            <w:tcW w:type="dxa" w:w="168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16"/>
              </w:rPr>
              <w:t>8.59%</w:t>
            </w:r>
          </w:p>
        </w:tc>
        <w:tc>
          <w:tcPr>
            <w:tcW w:type="dxa" w:w="168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16"/>
              </w:rPr>
              <w:t>50,059</w:t>
            </w:r>
          </w:p>
        </w:tc>
        <w:tc>
          <w:tcPr>
            <w:tcW w:type="dxa" w:w="168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16"/>
              </w:rPr>
              <w:t>0</w:t>
            </w:r>
          </w:p>
        </w:tc>
        <w:tc>
          <w:tcPr>
            <w:tcW w:type="dxa" w:w="168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New listing records eligible for ingestion</w:t>
            </w:r>
          </w:p>
        </w:tc>
      </w:tr>
      <w:tr>
        <w:tc>
          <w:tcPr>
            <w:tcW w:type="dxa" w:w="1680"/>
            <w:shd w:fill="F7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MISSING_EDPROPERTYID</w:t>
            </w:r>
          </w:p>
        </w:tc>
        <w:tc>
          <w:tcPr>
            <w:tcW w:type="dxa" w:w="1680"/>
            <w:shd w:fill="F7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16"/>
              </w:rPr>
              <w:t>3,290</w:t>
            </w:r>
          </w:p>
        </w:tc>
        <w:tc>
          <w:tcPr>
            <w:tcW w:type="dxa" w:w="1680"/>
            <w:shd w:fill="F7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16"/>
              </w:rPr>
              <w:t>0.37%</w:t>
            </w:r>
          </w:p>
        </w:tc>
        <w:tc>
          <w:tcPr>
            <w:tcW w:type="dxa" w:w="1680"/>
            <w:shd w:fill="F7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16"/>
              </w:rPr>
              <w:t>368</w:t>
            </w:r>
          </w:p>
        </w:tc>
        <w:tc>
          <w:tcPr>
            <w:tcW w:type="dxa" w:w="1680"/>
            <w:shd w:fill="F7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16"/>
              </w:rPr>
              <w:t>0</w:t>
            </w:r>
          </w:p>
        </w:tc>
        <w:tc>
          <w:tcPr>
            <w:tcW w:type="dxa" w:w="1680"/>
            <w:shd w:fill="F7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Has listing data, missing enterprise property link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A365D"/>
          <w:sz w:val="28"/>
        </w:rPr>
        <w:t>5. Cross-Table Overlap with Commercial Table</w:t>
      </w:r>
    </w:p>
    <w:p>
      <w:pPr>
        <w:spacing w:before="0" w:after="60" w:line="276" w:lineRule="auto"/>
      </w:pPr>
      <w:r>
        <w:rPr>
          <w:rFonts w:ascii="Calibri" w:hAnsi="Calibri"/>
          <w:i w:val="0"/>
          <w:color w:val="2D3748"/>
          <w:sz w:val="19"/>
        </w:rPr>
        <w:t>An inner join between dbo.[300MM_Commercial_Texas_Sales] and dbo.[300MM_Apartment_Texas_Sales] on EDPropertyID proves massive duplicate ingestion across both tables: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2D3748"/>
          <w:sz w:val="18"/>
        </w:rPr>
        <w:t xml:space="preserve">Shared Properties: </w:t>
      </w:r>
      <w:r>
        <w:rPr>
          <w:rFonts w:ascii="Calibri" w:hAnsi="Calibri"/>
          <w:color w:val="2D3748"/>
          <w:sz w:val="18"/>
        </w:rPr>
        <w:t>62,037 distinct properties exist in BOTH tables simultaneously.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2D3748"/>
          <w:sz w:val="18"/>
        </w:rPr>
        <w:t xml:space="preserve">Common Collision: </w:t>
      </w:r>
      <w:r>
        <w:rPr>
          <w:rFonts w:ascii="Calibri" w:hAnsi="Calibri"/>
          <w:color w:val="2D3748"/>
          <w:sz w:val="18"/>
        </w:rPr>
        <w:t>57,559 properties are marked ALREADY_AVAILABLE in both tables.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2D3748"/>
          <w:sz w:val="18"/>
        </w:rPr>
        <w:t xml:space="preserve">Root Cause: </w:t>
      </w:r>
      <w:r>
        <w:rPr>
          <w:rFonts w:ascii="Calibri" w:hAnsi="Calibri"/>
          <w:color w:val="2D3748"/>
          <w:sz w:val="18"/>
        </w:rPr>
        <w:t>Both tables ingested hundreds of thousands of single-family residential properties, contaminating both datasets.</w:t>
      </w:r>
    </w:p>
    <w:p>
      <w:pPr>
        <w:keepNext/>
        <w:spacing w:before="280" w:after="80"/>
      </w:pPr>
      <w:r>
        <w:rPr>
          <w:rFonts w:ascii="Calibri" w:hAnsi="Calibri"/>
          <w:b/>
          <w:color w:val="1A365D"/>
          <w:sz w:val="28"/>
        </w:rPr>
        <w:t>6. Key Recommendations for Teammate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2D3748"/>
          <w:sz w:val="18"/>
        </w:rPr>
        <w:t xml:space="preserve">1. Discontinue Pricing Use: </w:t>
      </w:r>
      <w:r>
        <w:rPr>
          <w:rFonts w:ascii="Calibri" w:hAnsi="Calibri"/>
          <w:color w:val="2D3748"/>
          <w:sz w:val="18"/>
        </w:rPr>
        <w:t>Do not use last_sold_price from this table for transaction valuation modeling, as closed prices are suppressed by Texas non-disclosure regulations.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2D3748"/>
          <w:sz w:val="18"/>
        </w:rPr>
        <w:t xml:space="preserve">2. Re-filter Property Types: </w:t>
      </w:r>
      <w:r>
        <w:rPr>
          <w:rFonts w:ascii="Calibri" w:hAnsi="Calibri"/>
          <w:color w:val="2D3748"/>
          <w:sz w:val="18"/>
        </w:rPr>
        <w:t>Filter property_type IN ('apartment', 'multi_family') to eliminate the 795,719 single-family houses contaminating multi-family analysis.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2D3748"/>
          <w:sz w:val="18"/>
        </w:rPr>
        <w:t xml:space="preserve">3. Alternative Sourcing: </w:t>
      </w:r>
      <w:r>
        <w:rPr>
          <w:rFonts w:ascii="Calibri" w:hAnsi="Calibri"/>
          <w:color w:val="2D3748"/>
          <w:sz w:val="18"/>
        </w:rPr>
        <w:t>Source true apartment sales transactions from county deed-of-trust recordings, documentary stamps, or commercial broker disclosures.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