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MLS Operations - Standard Operating Procedure</w:t>
      </w:r>
    </w:p>
    <w:p>
      <w:r>
        <w:t>Author: Research Operations Team | Version: 2.4 | Status: Active</w:t>
      </w:r>
    </w:p>
    <w:p>
      <w:pPr>
        <w:pStyle w:val="Heading1"/>
      </w:pPr>
      <w:r>
        <w:t>1. Overview</w:t>
      </w:r>
    </w:p>
    <w:p>
      <w:r>
        <w:t>This document outlines the standard verification and extraction procedures for MLS property records and research data verification.</w:t>
      </w:r>
    </w:p>
    <w:p>
      <w:pPr>
        <w:pStyle w:val="Heading1"/>
      </w:pPr>
      <w:r>
        <w:t>2. Daily Operations Checklist</w:t>
      </w:r>
    </w:p>
    <w:p>
      <w:r>
        <w:t>1. Retrieve property listings from the regional MLS data feed.</w:t>
        <w:br/>
      </w:r>
      <w:r>
        <w:t>2. Verify parcel numbers, address standardization, and owner records.</w:t>
        <w:br/>
      </w:r>
      <w:r>
        <w:t>3. Flag discrepancies for tier-2 research review.</w:t>
        <w:br/>
      </w:r>
      <w:r>
        <w:t>4. Archive processed batch files to the centralized procedures vault.</w:t>
      </w:r>
    </w:p>
    <w:p>
      <w:pPr>
        <w:pStyle w:val="Heading1"/>
      </w:pPr>
      <w:r>
        <w:t>3. Key Points of 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Lead Analyst</w:t>
            </w:r>
          </w:p>
        </w:tc>
        <w:tc>
          <w:tcPr>
            <w:tcW w:type="dxa" w:w="2880"/>
          </w:tcPr>
          <w:p>
            <w:r>
              <w:t>Operations Team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</w:tr>
      <w:tr>
        <w:tc>
          <w:tcPr>
            <w:tcW w:type="dxa" w:w="2880"/>
          </w:tcPr>
          <w:p>
            <w:r>
              <w:t>Portal Admin</w:t>
            </w:r>
          </w:p>
        </w:tc>
        <w:tc>
          <w:tcPr>
            <w:tcW w:type="dxa" w:w="2880"/>
          </w:tcPr>
          <w:p>
            <w:r>
              <w:t>Karthik Padmanathan</w:t>
            </w:r>
          </w:p>
        </w:tc>
        <w:tc>
          <w:tcPr>
            <w:tcW w:type="dxa" w:w="2880"/>
          </w:tcPr>
          <w:p>
            <w:r>
              <w:t>Admin Ops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