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Лабораторная работа 2 система нелинейных уравнений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Вариант 16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6759" cy="1842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32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656758" cy="1842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7.93pt;height:145.1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714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053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05424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7.75pt;height:56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2163" cy="35649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894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2162" cy="3564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4.66pt;height:280.7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0801" cy="41523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193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730800" cy="4152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3.76pt;height:326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3591" cy="41999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19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73590" cy="4199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7.13pt;height:330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</w:t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Нахождение матрицы Якоби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a = 2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/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df1_dx1 = a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df1_dx2 = math.sin(X[1])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df2_dx1 = -pow(math.e, X[0])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df2_dx2 = a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W = [[df1_dx1, df1_dx2],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[df2_dx1, df2_dx2]]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return W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2252" cy="39904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44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92252" cy="3990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8.60pt;height:314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Consolas" w:hAnsi="Consolas" w:cs="Consolas"/>
          <w:b/>
          <w:bCs/>
          <w:sz w:val="18"/>
          <w:szCs w:val="18"/>
          <w:highlight w:val="none"/>
        </w:rPr>
      </w:pPr>
      <w:r>
        <w:rPr>
          <w:rFonts w:ascii="Consolas" w:hAnsi="Consolas" w:eastAsia="Consolas" w:cs="Consolas"/>
          <w:b/>
          <w:bCs/>
          <w:sz w:val="18"/>
          <w:szCs w:val="18"/>
          <w:highlight w:val="none"/>
        </w:rPr>
        <w:t xml:space="preserve">Нахождение следующего приближения</w:t>
      </w:r>
      <w:r>
        <w:rPr>
          <w:rFonts w:ascii="Consolas" w:hAnsi="Consolas" w:eastAsia="Consolas" w:cs="Consolas"/>
          <w:b/>
          <w:bCs/>
          <w:sz w:val="18"/>
          <w:szCs w:val="18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f0 = f(X)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f0[0],f0[1] = -f0[0], -f0[1]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res = gaus(grad,f0)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X = vector_add(X, res)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eps = max(abs(res[0]), abs(res[1]))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6858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234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6729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9.00pt;height:5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5740" cy="300421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671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35739" cy="300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2.03pt;height:236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2023-12-06T09:49:19Z</dcterms:modified>
</cp:coreProperties>
</file>