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80FC" w14:textId="624AD243" w:rsidR="002E726D" w:rsidRDefault="00F12DFD">
      <w:pPr>
        <w:pStyle w:val="1"/>
      </w:pPr>
      <w:r>
        <w:rPr>
          <w:b/>
          <w:bCs/>
        </w:rPr>
        <w:t xml:space="preserve">Техническое описание архитектуры и компонентной базы проекта </w:t>
      </w:r>
      <w:hyperlink r:id="rId7" w:history="1">
        <w:r>
          <w:rPr>
            <w:b/>
            <w:bCs/>
            <w:color w:val="2B2BEE"/>
            <w:u w:val="single"/>
          </w:rPr>
          <w:t>Radik.Dev</w:t>
        </w:r>
      </w:hyperlink>
    </w:p>
    <w:p w14:paraId="5310076E" w14:textId="77777777" w:rsidR="002E726D" w:rsidRDefault="002E726D"/>
    <w:p w14:paraId="28F9F688" w14:textId="77777777" w:rsidR="002E726D" w:rsidRDefault="00000000">
      <w:r>
        <w:t>Проект представляет собой статический веб-ресурс, реализованный в соответствии с принципами компонентно-ориентированной архитектуры (Component-Based Architecture, CBA) и построенный на технологическом стеке TypeScript, SCSS и HTML. Модульная сборка осуществляется посредством системы автоматизации Gulp, а верификация корректности функционирования обеспечивается фреймворком Vitest.</w:t>
      </w:r>
    </w:p>
    <w:p w14:paraId="187384A5" w14:textId="77777777" w:rsidR="002E726D" w:rsidRDefault="002E726D"/>
    <w:p w14:paraId="22B45B20" w14:textId="77777777" w:rsidR="002E726D" w:rsidRDefault="00000000">
      <w:r>
        <w:t>Ниже представлен структурный аудит программных слоев приложения на основе предоставленной схемы.</w:t>
      </w:r>
    </w:p>
    <w:p w14:paraId="7C18A267" w14:textId="77777777" w:rsidR="002E726D" w:rsidRDefault="002E726D"/>
    <w:p w14:paraId="581B4A12" w14:textId="4C7A752B" w:rsidR="002E726D" w:rsidRPr="006361D9" w:rsidRDefault="00000000">
      <w:pPr>
        <w:pStyle w:val="2"/>
      </w:pPr>
      <w:r>
        <w:rPr>
          <w:b/>
          <w:bCs/>
        </w:rPr>
        <w:t>1</w:t>
      </w:r>
      <w:r w:rsidR="00D82097" w:rsidRPr="00D82097">
        <w:rPr>
          <w:b/>
          <w:bCs/>
        </w:rPr>
        <w:t>.</w:t>
      </w:r>
      <w:r>
        <w:rPr>
          <w:b/>
          <w:bCs/>
        </w:rPr>
        <w:t xml:space="preserve"> Архитектура автоматизации и сборки (каталог gulp)</w:t>
      </w:r>
      <w:r w:rsidR="006361D9" w:rsidRPr="006361D9">
        <w:rPr>
          <w:b/>
          <w:bCs/>
        </w:rPr>
        <w:t>.</w:t>
      </w:r>
    </w:p>
    <w:p w14:paraId="29F569BC" w14:textId="77777777" w:rsidR="002E726D" w:rsidRDefault="002E726D"/>
    <w:p w14:paraId="46E618EE" w14:textId="77777777" w:rsidR="002E726D" w:rsidRDefault="00000000">
      <w:r>
        <w:t>Система сборки спроектирована по принципу Separation of Concerns (SoC) и декомпозирована на атомарные модули:</w:t>
      </w:r>
    </w:p>
    <w:p w14:paraId="04572ED1" w14:textId="77777777" w:rsidR="002E726D" w:rsidRDefault="002E726D"/>
    <w:p w14:paraId="1FABBEED" w14:textId="2BC2C542" w:rsidR="002E726D" w:rsidRDefault="00000000" w:rsidP="0059400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Ресурсные таски:</w:t>
      </w:r>
      <w:r>
        <w:t xml:space="preserve"> представлены </w:t>
      </w:r>
      <w:r w:rsidR="005B0CD9">
        <w:t>файлами</w:t>
      </w:r>
      <w:r w:rsidR="00594009">
        <w:t xml:space="preserve"> </w:t>
      </w:r>
      <w:r w:rsidR="00594009" w:rsidRPr="00594009">
        <w:t>fonts.js, html.js, images.js, scripts.js, styles.js</w:t>
      </w:r>
      <w:r>
        <w:t>. Каждый модуль инкапсулирует собственный конвейер трансформации ресурсов, включающий компиляцию, минификация и механизмы кэширования.</w:t>
      </w:r>
    </w:p>
    <w:p w14:paraId="1AC84A04" w14:textId="3635D0B6" w:rsidR="002E726D" w:rsidRDefault="00000000" w:rsidP="0059400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Инфраструктурный слой:</w:t>
      </w:r>
      <w:r>
        <w:t xml:space="preserve"> включает (</w:t>
      </w:r>
      <w:r w:rsidR="00594009" w:rsidRPr="00594009">
        <w:t>server.js</w:t>
      </w:r>
      <w:r w:rsidR="00594009">
        <w:t xml:space="preserve"> - </w:t>
      </w:r>
      <w:r>
        <w:t>инициализация локального сервера разработки) и (</w:t>
      </w:r>
      <w:r w:rsidR="00594009" w:rsidRPr="00594009">
        <w:t>deploy.js</w:t>
      </w:r>
      <w:r w:rsidR="00594009">
        <w:t xml:space="preserve"> - </w:t>
      </w:r>
      <w:r>
        <w:t>скрипт автоматизации процесса публикации финальной сборки).</w:t>
      </w:r>
    </w:p>
    <w:p w14:paraId="10CC2C9C" w14:textId="0A1EE0C5" w:rsidR="002E726D" w:rsidRDefault="00000000" w:rsidP="0059400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Системное ядро (gulp/system/):</w:t>
      </w:r>
      <w:r>
        <w:t xml:space="preserve"> </w:t>
      </w:r>
      <w:r w:rsidR="00594009" w:rsidRPr="00594009">
        <w:t>(gulp.create.js, gulp.init.js, gulp.module.js)</w:t>
      </w:r>
      <w:r w:rsidR="00594009">
        <w:t xml:space="preserve">, </w:t>
      </w:r>
      <w:r>
        <w:t>реализует внутреннее CLI-микроядро, предназначенное для быстрой генерации шаблонов новых компонентов по команде.</w:t>
      </w:r>
    </w:p>
    <w:p w14:paraId="03D81625" w14:textId="48E30DD6" w:rsidR="002E726D" w:rsidRDefault="00000000" w:rsidP="0059400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Утилиты обработки данных:</w:t>
      </w:r>
      <w:r>
        <w:t xml:space="preserve"> </w:t>
      </w:r>
      <w:r w:rsidR="00594009" w:rsidRPr="00594009">
        <w:t>Скрипт gulp/utils/content-processor.js</w:t>
      </w:r>
      <w:r w:rsidR="00594009">
        <w:t xml:space="preserve"> и его тесты. Он</w:t>
      </w:r>
      <w:r>
        <w:t xml:space="preserve"> отвеча</w:t>
      </w:r>
      <w:r w:rsidR="00594009">
        <w:t>е</w:t>
      </w:r>
      <w:r>
        <w:t>т за парсинг контента блога и генерацию динамических маркеров кэша для инкрементальной сборки.</w:t>
      </w:r>
    </w:p>
    <w:p w14:paraId="13D64922" w14:textId="77777777" w:rsidR="002E726D" w:rsidRDefault="002E726D"/>
    <w:p w14:paraId="1EC05FF7" w14:textId="10EDCAD1" w:rsidR="002E726D" w:rsidRPr="006361D9" w:rsidRDefault="00000000">
      <w:pPr>
        <w:pStyle w:val="2"/>
        <w:rPr>
          <w:lang w:val="en-US"/>
        </w:rPr>
      </w:pPr>
      <w:r>
        <w:rPr>
          <w:b/>
          <w:bCs/>
        </w:rPr>
        <w:t>2</w:t>
      </w:r>
      <w:r w:rsidR="00D82097" w:rsidRPr="006361D9">
        <w:rPr>
          <w:b/>
          <w:bCs/>
        </w:rPr>
        <w:t>.</w:t>
      </w:r>
      <w:r>
        <w:rPr>
          <w:b/>
          <w:bCs/>
        </w:rPr>
        <w:t xml:space="preserve"> Компонентный слой (src/components/)</w:t>
      </w:r>
      <w:r w:rsidR="006361D9">
        <w:rPr>
          <w:b/>
          <w:bCs/>
          <w:lang w:val="en-US"/>
        </w:rPr>
        <w:t>.</w:t>
      </w:r>
    </w:p>
    <w:p w14:paraId="552E4C90" w14:textId="77777777" w:rsidR="002E726D" w:rsidRDefault="002E726D"/>
    <w:p w14:paraId="6C3C153D" w14:textId="77777777" w:rsidR="002E726D" w:rsidRPr="005B0CD9" w:rsidRDefault="00000000">
      <w:pPr>
        <w:rPr>
          <w:lang w:val="en-US"/>
        </w:rPr>
      </w:pPr>
      <w:r>
        <w:t>Реализована строгая изоляция UI-сущностей в рамках собственных директорий, что обеспечивает инкапсуляцию разметки, стилей и логики. В</w:t>
      </w:r>
      <w:r w:rsidRPr="005B0CD9">
        <w:rPr>
          <w:lang w:val="en-US"/>
        </w:rPr>
        <w:t xml:space="preserve"> </w:t>
      </w:r>
      <w:r>
        <w:t>состав</w:t>
      </w:r>
      <w:r w:rsidRPr="005B0CD9">
        <w:rPr>
          <w:lang w:val="en-US"/>
        </w:rPr>
        <w:t xml:space="preserve"> </w:t>
      </w:r>
      <w:r>
        <w:t>слоя</w:t>
      </w:r>
      <w:r w:rsidRPr="005B0CD9">
        <w:rPr>
          <w:lang w:val="en-US"/>
        </w:rPr>
        <w:t xml:space="preserve"> </w:t>
      </w:r>
      <w:r>
        <w:t>входят</w:t>
      </w:r>
      <w:r w:rsidRPr="005B0CD9">
        <w:rPr>
          <w:lang w:val="en-US"/>
        </w:rPr>
        <w:t xml:space="preserve"> </w:t>
      </w:r>
      <w:r>
        <w:t>следующие</w:t>
      </w:r>
      <w:r w:rsidRPr="005B0CD9">
        <w:rPr>
          <w:lang w:val="en-US"/>
        </w:rPr>
        <w:t xml:space="preserve"> </w:t>
      </w:r>
      <w:r>
        <w:t>компоненты</w:t>
      </w:r>
      <w:r w:rsidRPr="005B0CD9">
        <w:rPr>
          <w:lang w:val="en-US"/>
        </w:rPr>
        <w:t>: about-me, blog-article, blog-page, blog-sidebar, contacts, footer, header, hero, main, menu, modal, projects-grid.</w:t>
      </w:r>
    </w:p>
    <w:p w14:paraId="5807B8B3" w14:textId="77777777" w:rsidR="002E726D" w:rsidRPr="005B0CD9" w:rsidRDefault="002E726D">
      <w:pPr>
        <w:rPr>
          <w:lang w:val="en-US"/>
        </w:rPr>
      </w:pPr>
    </w:p>
    <w:p w14:paraId="3B458877" w14:textId="1875398B" w:rsidR="002E726D" w:rsidRDefault="00000000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Изолированность:</w:t>
      </w:r>
      <w:r>
        <w:t xml:space="preserve"> каждый компонент (например, about-me) содержит локальные </w:t>
      </w:r>
      <w:r w:rsidR="005B0CD9">
        <w:t>файлы,</w:t>
      </w:r>
      <w:r>
        <w:t xml:space="preserve"> и вложенную графику в </w:t>
      </w:r>
      <w:r w:rsidR="005B0CD9">
        <w:t>каталоге.</w:t>
      </w:r>
      <w:r>
        <w:t xml:space="preserve"> Данный подход минимизирует риск утечки стилей (</w:t>
      </w:r>
      <w:r>
        <w:rPr>
          <w:i/>
          <w:iCs/>
        </w:rPr>
        <w:t>CSS Leakage</w:t>
      </w:r>
      <w:r>
        <w:t>) и упрощает процедуру рефакторинга.</w:t>
      </w:r>
    </w:p>
    <w:p w14:paraId="7591041C" w14:textId="2B8A7AC3" w:rsidR="002E726D" w:rsidRDefault="00000000" w:rsidP="0046336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Покрытие тестами:</w:t>
      </w:r>
      <w:r>
        <w:t xml:space="preserve"> критически важные интерактивные компоненты (contacts, modal) снабжены файлами модульного </w:t>
      </w:r>
      <w:r w:rsidR="00BE7774">
        <w:t>тестирования вида</w:t>
      </w:r>
      <w:r w:rsidR="00463369">
        <w:t xml:space="preserve"> - </w:t>
      </w:r>
      <w:r w:rsidR="00463369" w:rsidRPr="00463369">
        <w:t>*.test.ts</w:t>
      </w:r>
      <w:r w:rsidR="005B0CD9">
        <w:t>,</w:t>
      </w:r>
      <w:r>
        <w:t xml:space="preserve"> располагаемыми непосредственно в директориях компонентов.</w:t>
      </w:r>
    </w:p>
    <w:p w14:paraId="57579FEE" w14:textId="77777777" w:rsidR="002E726D" w:rsidRDefault="002E726D"/>
    <w:p w14:paraId="579F4DBE" w14:textId="0D8A5F63" w:rsidR="002E726D" w:rsidRPr="006361D9" w:rsidRDefault="00000000">
      <w:pPr>
        <w:pStyle w:val="2"/>
      </w:pPr>
      <w:r>
        <w:rPr>
          <w:b/>
          <w:bCs/>
        </w:rPr>
        <w:t>3</w:t>
      </w:r>
      <w:r w:rsidR="00D82097" w:rsidRPr="00D82097">
        <w:rPr>
          <w:b/>
          <w:bCs/>
        </w:rPr>
        <w:t>.</w:t>
      </w:r>
      <w:r>
        <w:rPr>
          <w:b/>
          <w:bCs/>
        </w:rPr>
        <w:t xml:space="preserve"> Контентная и ресурсная база (src/content/, src/fonts/, src/images/)</w:t>
      </w:r>
      <w:r w:rsidR="006361D9" w:rsidRPr="006361D9">
        <w:rPr>
          <w:b/>
          <w:bCs/>
        </w:rPr>
        <w:t>.</w:t>
      </w:r>
    </w:p>
    <w:p w14:paraId="15765B87" w14:textId="77777777" w:rsidR="002E726D" w:rsidRDefault="002E726D"/>
    <w:p w14:paraId="78A1F3ED" w14:textId="215557A5" w:rsidR="002E726D" w:rsidRDefault="00000000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Data-driven контент (src/content/blog/):</w:t>
      </w:r>
      <w:r>
        <w:t xml:space="preserve"> статьи репрезентированы в форматах Markdown (.md) и Microsoft Word (.docx). Файл </w:t>
      </w:r>
      <w:r w:rsidR="00EF193F" w:rsidRPr="00EF193F">
        <w:t xml:space="preserve">.blog-cache-marker </w:t>
      </w:r>
      <w:r>
        <w:t>реализует механизм сигнализирования сборщику Gulp об изменении контента, что позволяет выполнять инкрементальную сборку без полной пересборки страниц.</w:t>
      </w:r>
    </w:p>
    <w:p w14:paraId="7817B98A" w14:textId="66958CE0" w:rsidR="002E726D" w:rsidRDefault="00000000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Шрифтовая база:</w:t>
      </w:r>
      <w:r>
        <w:t xml:space="preserve"> используется гарнитура Montserrat с набором из 5 начертаний (от Regular до Black). Подключение гарнитуры осуществляется через изолированный SCSS-модуль в </w:t>
      </w:r>
      <w:r w:rsidR="00463369">
        <w:t>каталоге.</w:t>
      </w:r>
    </w:p>
    <w:p w14:paraId="4135D972" w14:textId="34959BD0" w:rsidR="002E726D" w:rsidRDefault="00000000" w:rsidP="00361CF1">
      <w:pPr>
        <w:pStyle w:val="a4"/>
        <w:numPr>
          <w:ilvl w:val="0"/>
          <w:numId w:val="1"/>
        </w:numPr>
        <w:ind w:left="360"/>
      </w:pPr>
      <w:r w:rsidRPr="00463369">
        <w:rPr>
          <w:b/>
          <w:bCs/>
        </w:rPr>
        <w:t>Оптимизация графических ресурсов:</w:t>
      </w:r>
      <w:r>
        <w:t xml:space="preserve"> реализована поддержка современных форматов изображений. Наличие модуля позволяет проводить проверку поддержки формата WebP на стороне клиента. В каталоге </w:t>
      </w:r>
      <w:r w:rsidR="00EF193F" w:rsidRPr="00EF193F">
        <w:t xml:space="preserve">images/favicons/ </w:t>
      </w:r>
      <w:r>
        <w:t>содержится полный комплект фавиконок для различных устройств, подключаемый через HTML-</w:t>
      </w:r>
      <w:r w:rsidR="00463369">
        <w:t xml:space="preserve">партиал - </w:t>
      </w:r>
      <w:r w:rsidR="00463369" w:rsidRPr="00463369">
        <w:t>parts/favicon-links.html</w:t>
      </w:r>
      <w:r w:rsidR="00463369">
        <w:t>.</w:t>
      </w:r>
    </w:p>
    <w:p w14:paraId="49E3BD0F" w14:textId="77777777" w:rsidR="002E726D" w:rsidRDefault="002E726D"/>
    <w:p w14:paraId="40D8CFB3" w14:textId="107A19EE" w:rsidR="002E726D" w:rsidRPr="006361D9" w:rsidRDefault="00000000">
      <w:pPr>
        <w:pStyle w:val="2"/>
      </w:pPr>
      <w:r>
        <w:rPr>
          <w:b/>
          <w:bCs/>
        </w:rPr>
        <w:t>4</w:t>
      </w:r>
      <w:r w:rsidR="00D82097" w:rsidRPr="00D82097">
        <w:rPr>
          <w:b/>
          <w:bCs/>
        </w:rPr>
        <w:t>.</w:t>
      </w:r>
      <w:r>
        <w:rPr>
          <w:b/>
          <w:bCs/>
        </w:rPr>
        <w:t xml:space="preserve"> Глобальная логика и стилизация (src/js/, src/scss/)</w:t>
      </w:r>
      <w:r w:rsidR="006361D9" w:rsidRPr="006361D9">
        <w:rPr>
          <w:b/>
          <w:bCs/>
        </w:rPr>
        <w:t>.</w:t>
      </w:r>
    </w:p>
    <w:p w14:paraId="58A4EB67" w14:textId="77777777" w:rsidR="002E726D" w:rsidRDefault="002E726D"/>
    <w:p w14:paraId="49E7C567" w14:textId="6867C472" w:rsidR="002E726D" w:rsidRDefault="00000000" w:rsidP="0046336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Точка входа JS:</w:t>
      </w:r>
      <w:r>
        <w:t xml:space="preserve"> </w:t>
      </w:r>
      <w:r w:rsidR="00463369" w:rsidRPr="00463369">
        <w:t>Файл src/js/app.ts</w:t>
      </w:r>
      <w:r>
        <w:t xml:space="preserve"> инициализирует глобальные модули, включая (детекция поддержки WebP), а также реализует функционал интерактивных компонентов общего назначения (например, scroll-to-top, theme-toggle для переключения цветовых схем).</w:t>
      </w:r>
    </w:p>
    <w:p w14:paraId="5B8CEB57" w14:textId="403D1D50" w:rsidR="002E726D" w:rsidRDefault="00000000" w:rsidP="0046336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Конфигурация окружения:</w:t>
      </w:r>
      <w:r>
        <w:t xml:space="preserve"> файл </w:t>
      </w:r>
      <w:r w:rsidR="00463369" w:rsidRPr="00463369">
        <w:t>env-config.js</w:t>
      </w:r>
      <w:r w:rsidR="00463369">
        <w:t xml:space="preserve"> </w:t>
      </w:r>
      <w:r>
        <w:t>обеспечивает маппинг системных переменных из корневого файла в клиентский код приложения.</w:t>
      </w:r>
    </w:p>
    <w:p w14:paraId="482D4A29" w14:textId="153A7876" w:rsidR="002E726D" w:rsidRPr="00463369" w:rsidRDefault="00000000" w:rsidP="00463369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Архитектура глобальных стилей</w:t>
      </w:r>
      <w:r w:rsidR="00463369">
        <w:rPr>
          <w:b/>
          <w:bCs/>
        </w:rPr>
        <w:t xml:space="preserve"> </w:t>
      </w:r>
      <w:r w:rsidR="00463369" w:rsidRPr="00463369">
        <w:rPr>
          <w:b/>
          <w:bCs/>
        </w:rPr>
        <w:t>SCSS</w:t>
      </w:r>
      <w:r w:rsidRPr="00463369">
        <w:rPr>
          <w:b/>
          <w:bCs/>
        </w:rPr>
        <w:t>:</w:t>
      </w:r>
      <w:r>
        <w:t xml:space="preserve"> стилизация построена в соответствии с методологией ITCSS/7-in-1. Каталог </w:t>
      </w:r>
      <w:r w:rsidR="00463369" w:rsidRPr="00463369">
        <w:t>base/</w:t>
      </w:r>
      <w:r w:rsidR="00463369">
        <w:t xml:space="preserve"> </w:t>
      </w:r>
      <w:r>
        <w:t xml:space="preserve">содержит файлы нормализации </w:t>
      </w:r>
      <w:r w:rsidR="00463369" w:rsidRPr="00463369">
        <w:t>(_zero.scss)</w:t>
      </w:r>
      <w:r>
        <w:t>, глобальных переменных (</w:t>
      </w:r>
      <w:r w:rsidR="00463369" w:rsidRPr="00463369">
        <w:t>_vars.scss</w:t>
      </w:r>
      <w:r>
        <w:t>), вендорных стилей (</w:t>
      </w:r>
      <w:r w:rsidR="00463369" w:rsidRPr="00463369">
        <w:t>_vendors.scss</w:t>
      </w:r>
      <w:r>
        <w:t>) и общих правил оформления (</w:t>
      </w:r>
      <w:r w:rsidR="00463369" w:rsidRPr="00463369">
        <w:t>_global.scss</w:t>
      </w:r>
      <w:r>
        <w:t>). Все перечисленные модули агрегируются в единой точке входа — файле</w:t>
      </w:r>
      <w:r w:rsidR="00463369">
        <w:t xml:space="preserve"> </w:t>
      </w:r>
      <w:r w:rsidR="00463369" w:rsidRPr="00463369">
        <w:t>style.scss</w:t>
      </w:r>
      <w:r>
        <w:t>.</w:t>
      </w:r>
    </w:p>
    <w:p w14:paraId="0C82F3C5" w14:textId="77777777" w:rsidR="002E726D" w:rsidRDefault="002E726D"/>
    <w:p w14:paraId="16CE7D1F" w14:textId="37418572" w:rsidR="002E726D" w:rsidRPr="006361D9" w:rsidRDefault="00000000">
      <w:pPr>
        <w:pStyle w:val="2"/>
      </w:pPr>
      <w:r>
        <w:rPr>
          <w:b/>
          <w:bCs/>
        </w:rPr>
        <w:t>5</w:t>
      </w:r>
      <w:r w:rsidR="00D82097" w:rsidRPr="00D82097">
        <w:rPr>
          <w:b/>
          <w:bCs/>
        </w:rPr>
        <w:t>.</w:t>
      </w:r>
      <w:r>
        <w:rPr>
          <w:b/>
          <w:bCs/>
        </w:rPr>
        <w:t xml:space="preserve"> Окружение обеспечения качества кода и типизации (корневые файлы)</w:t>
      </w:r>
      <w:r w:rsidR="006361D9" w:rsidRPr="006361D9">
        <w:rPr>
          <w:b/>
          <w:bCs/>
        </w:rPr>
        <w:t>.</w:t>
      </w:r>
    </w:p>
    <w:p w14:paraId="0AA2DCB7" w14:textId="77777777" w:rsidR="002E726D" w:rsidRDefault="002E726D"/>
    <w:p w14:paraId="24FA12C7" w14:textId="419A21A2" w:rsidR="002E726D" w:rsidRDefault="00000000" w:rsidP="00C45293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Статический анализ и форматирование:</w:t>
      </w:r>
      <w:r>
        <w:t xml:space="preserve"> качество кода</w:t>
      </w:r>
      <w:r w:rsidR="00C45293">
        <w:t xml:space="preserve"> </w:t>
      </w:r>
      <w:r w:rsidR="00C45293" w:rsidRPr="00C45293">
        <w:t>и типизации</w:t>
      </w:r>
      <w:r>
        <w:t xml:space="preserve"> контролируется строгим пулом конфигурационных </w:t>
      </w:r>
      <w:r w:rsidR="00C45293">
        <w:t>файлов: .</w:t>
      </w:r>
      <w:r w:rsidR="00C45293" w:rsidRPr="00C45293">
        <w:t>eslintrc.js,. prettierrc, .stylelintrc.json, .htmlhintrc и .editorconfig</w:t>
      </w:r>
      <w:r>
        <w:t>.</w:t>
      </w:r>
    </w:p>
    <w:p w14:paraId="28AF1BE9" w14:textId="7F6CF3C2" w:rsidR="002E726D" w:rsidRPr="00C45293" w:rsidRDefault="00000000" w:rsidP="00C45293">
      <w:pPr>
        <w:pStyle w:val="a4"/>
        <w:numPr>
          <w:ilvl w:val="0"/>
          <w:numId w:val="1"/>
        </w:numPr>
        <w:ind w:left="360"/>
      </w:pPr>
      <w:r>
        <w:rPr>
          <w:b/>
          <w:bCs/>
        </w:rPr>
        <w:t>Безопасность коммитов</w:t>
      </w:r>
      <w:r w:rsidR="00C45293">
        <w:rPr>
          <w:b/>
          <w:bCs/>
        </w:rPr>
        <w:t xml:space="preserve"> </w:t>
      </w:r>
      <w:r w:rsidR="00C45293" w:rsidRPr="00C45293">
        <w:rPr>
          <w:b/>
          <w:bCs/>
        </w:rPr>
        <w:t>(.husky/)</w:t>
      </w:r>
      <w:r w:rsidRPr="00C45293">
        <w:rPr>
          <w:b/>
          <w:bCs/>
        </w:rPr>
        <w:t>:</w:t>
      </w:r>
      <w:r>
        <w:t xml:space="preserve"> в директории настроен Git-хук </w:t>
      </w:r>
      <w:r w:rsidRPr="00C45293">
        <w:rPr>
          <w:i/>
          <w:iCs/>
        </w:rPr>
        <w:t>pre-commit</w:t>
      </w:r>
      <w:r>
        <w:t>, который автоматически запускает линтеры (</w:t>
      </w:r>
      <w:r w:rsidR="00C45293" w:rsidRPr="00C45293">
        <w:t>gulp lint.js</w:t>
      </w:r>
      <w:r>
        <w:t>) и тестовый набор перед фиксацией изменений в репозитории.</w:t>
      </w:r>
    </w:p>
    <w:p w14:paraId="60CE7549" w14:textId="438A9A5E" w:rsidR="002E726D" w:rsidRDefault="00000000" w:rsidP="00732015">
      <w:pPr>
        <w:pStyle w:val="a4"/>
        <w:numPr>
          <w:ilvl w:val="0"/>
          <w:numId w:val="1"/>
        </w:numPr>
        <w:ind w:left="360"/>
      </w:pPr>
      <w:r w:rsidRPr="00C45293">
        <w:rPr>
          <w:b/>
          <w:bCs/>
        </w:rPr>
        <w:t>Компиляция и верификация:</w:t>
      </w:r>
      <w:r>
        <w:t xml:space="preserve"> архитектура TypeScript координируется через конфигурационный файл </w:t>
      </w:r>
      <w:r w:rsidR="00C45293" w:rsidRPr="00C45293">
        <w:t>tsconfig.json</w:t>
      </w:r>
      <w:r w:rsidR="00C45293">
        <w:t xml:space="preserve"> </w:t>
      </w:r>
      <w:r>
        <w:t xml:space="preserve">и файлы деклараций </w:t>
      </w:r>
      <w:r w:rsidR="005B0CD9">
        <w:t>типов</w:t>
      </w:r>
      <w:r w:rsidR="00C45293">
        <w:t xml:space="preserve"> </w:t>
      </w:r>
      <w:r w:rsidR="00C45293" w:rsidRPr="00C45293">
        <w:t>declarations.d.ts</w:t>
      </w:r>
      <w:r w:rsidR="005B0CD9">
        <w:t>.</w:t>
      </w:r>
      <w:r>
        <w:t xml:space="preserve"> Тестовая среда полностью развёрнута на базе Vitest с конфигурацией в </w:t>
      </w:r>
      <w:r w:rsidR="005B0CD9">
        <w:t>файле</w:t>
      </w:r>
      <w:r w:rsidR="00C45293">
        <w:t xml:space="preserve"> </w:t>
      </w:r>
      <w:r w:rsidR="00C45293" w:rsidRPr="00C45293">
        <w:t>vitest.config.ts</w:t>
      </w:r>
      <w:r w:rsidR="00C45293">
        <w:t xml:space="preserve"> и </w:t>
      </w:r>
      <w:r w:rsidR="00C45293" w:rsidRPr="00C45293">
        <w:t>TESTING.md</w:t>
      </w:r>
      <w:r w:rsidR="00C45293">
        <w:t>.</w:t>
      </w:r>
    </w:p>
    <w:sectPr w:rsidR="002E726D">
      <w:footerReference w:type="default" r:id="rId8"/>
      <w:pgSz w:w="11906" w:h="16838"/>
      <w:pgMar w:top="720" w:right="720" w:bottom="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587F4" w14:textId="77777777" w:rsidR="00E56E3F" w:rsidRDefault="00E56E3F">
      <w:r>
        <w:separator/>
      </w:r>
    </w:p>
  </w:endnote>
  <w:endnote w:type="continuationSeparator" w:id="0">
    <w:p w14:paraId="786CFF6E" w14:textId="77777777" w:rsidR="00E56E3F" w:rsidRDefault="00E56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B Sans Text, Calib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6A102" w14:textId="6FA9334E" w:rsidR="002E726D" w:rsidRDefault="002E726D">
    <w:pPr>
      <w:pBdr>
        <w:top w:val="single" w:sz="1" w:space="0" w:color="E0E0E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71D29" w14:textId="77777777" w:rsidR="00E56E3F" w:rsidRDefault="00E56E3F">
      <w:r>
        <w:separator/>
      </w:r>
    </w:p>
  </w:footnote>
  <w:footnote w:type="continuationSeparator" w:id="0">
    <w:p w14:paraId="68428558" w14:textId="77777777" w:rsidR="00E56E3F" w:rsidRDefault="00E56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939"/>
    <w:multiLevelType w:val="multilevel"/>
    <w:tmpl w:val="203AD93C"/>
    <w:lvl w:ilvl="0">
      <w:start w:val="1"/>
      <w:numFmt w:val="decimal"/>
      <w:lvlText w:val="%1."/>
      <w:lvlJc w:val="left"/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8E258F"/>
    <w:multiLevelType w:val="hybridMultilevel"/>
    <w:tmpl w:val="2AE02506"/>
    <w:lvl w:ilvl="0" w:tplc="B1E05BD4">
      <w:start w:val="1"/>
      <w:numFmt w:val="bullet"/>
      <w:lvlText w:val="●"/>
      <w:lvlJc w:val="left"/>
      <w:pPr>
        <w:ind w:left="720" w:hanging="360"/>
      </w:pPr>
    </w:lvl>
    <w:lvl w:ilvl="1" w:tplc="5C408610">
      <w:start w:val="1"/>
      <w:numFmt w:val="bullet"/>
      <w:lvlText w:val="○"/>
      <w:lvlJc w:val="left"/>
      <w:pPr>
        <w:ind w:left="1440" w:hanging="360"/>
      </w:pPr>
    </w:lvl>
    <w:lvl w:ilvl="2" w:tplc="8CEA743E">
      <w:start w:val="1"/>
      <w:numFmt w:val="bullet"/>
      <w:lvlText w:val="■"/>
      <w:lvlJc w:val="left"/>
      <w:pPr>
        <w:ind w:left="2160" w:hanging="360"/>
      </w:pPr>
    </w:lvl>
    <w:lvl w:ilvl="3" w:tplc="E0384BD4">
      <w:start w:val="1"/>
      <w:numFmt w:val="bullet"/>
      <w:lvlText w:val="●"/>
      <w:lvlJc w:val="left"/>
      <w:pPr>
        <w:ind w:left="2880" w:hanging="360"/>
      </w:pPr>
    </w:lvl>
    <w:lvl w:ilvl="4" w:tplc="74CACD84">
      <w:start w:val="1"/>
      <w:numFmt w:val="bullet"/>
      <w:lvlText w:val="○"/>
      <w:lvlJc w:val="left"/>
      <w:pPr>
        <w:ind w:left="3600" w:hanging="360"/>
      </w:pPr>
    </w:lvl>
    <w:lvl w:ilvl="5" w:tplc="B872A61C">
      <w:start w:val="1"/>
      <w:numFmt w:val="bullet"/>
      <w:lvlText w:val="■"/>
      <w:lvlJc w:val="left"/>
      <w:pPr>
        <w:ind w:left="4320" w:hanging="360"/>
      </w:pPr>
    </w:lvl>
    <w:lvl w:ilvl="6" w:tplc="1D66292A">
      <w:start w:val="1"/>
      <w:numFmt w:val="bullet"/>
      <w:lvlText w:val="●"/>
      <w:lvlJc w:val="left"/>
      <w:pPr>
        <w:ind w:left="5040" w:hanging="360"/>
      </w:pPr>
    </w:lvl>
    <w:lvl w:ilvl="7" w:tplc="9E86E232">
      <w:start w:val="1"/>
      <w:numFmt w:val="bullet"/>
      <w:lvlText w:val="●"/>
      <w:lvlJc w:val="left"/>
      <w:pPr>
        <w:ind w:left="5760" w:hanging="360"/>
      </w:pPr>
    </w:lvl>
    <w:lvl w:ilvl="8" w:tplc="206C16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174CC"/>
    <w:multiLevelType w:val="hybridMultilevel"/>
    <w:tmpl w:val="17963284"/>
    <w:lvl w:ilvl="0" w:tplc="65421DBA">
      <w:start w:val="1"/>
      <w:numFmt w:val="none"/>
      <w:lvlText w:val=""/>
      <w:lvlJc w:val="left"/>
    </w:lvl>
    <w:lvl w:ilvl="1" w:tplc="D2EEA7D2">
      <w:start w:val="1"/>
      <w:numFmt w:val="none"/>
      <w:lvlText w:val=""/>
      <w:lvlJc w:val="left"/>
    </w:lvl>
    <w:lvl w:ilvl="2" w:tplc="91F6F6BA">
      <w:start w:val="1"/>
      <w:numFmt w:val="none"/>
      <w:lvlText w:val=""/>
      <w:lvlJc w:val="left"/>
    </w:lvl>
    <w:lvl w:ilvl="3" w:tplc="DA186258">
      <w:start w:val="1"/>
      <w:numFmt w:val="none"/>
      <w:lvlText w:val=""/>
      <w:lvlJc w:val="left"/>
    </w:lvl>
    <w:lvl w:ilvl="4" w:tplc="5FA60202">
      <w:start w:val="1"/>
      <w:numFmt w:val="none"/>
      <w:lvlText w:val=""/>
      <w:lvlJc w:val="left"/>
    </w:lvl>
    <w:lvl w:ilvl="5" w:tplc="5E0C7FDA">
      <w:start w:val="1"/>
      <w:numFmt w:val="none"/>
      <w:lvlText w:val=""/>
      <w:lvlJc w:val="left"/>
    </w:lvl>
    <w:lvl w:ilvl="6" w:tplc="74AC4892">
      <w:start w:val="1"/>
      <w:numFmt w:val="none"/>
      <w:lvlText w:val=""/>
      <w:lvlJc w:val="left"/>
    </w:lvl>
    <w:lvl w:ilvl="7" w:tplc="7D3AAC02">
      <w:numFmt w:val="decimal"/>
      <w:lvlText w:val=""/>
      <w:lvlJc w:val="left"/>
    </w:lvl>
    <w:lvl w:ilvl="8" w:tplc="3D229EAC">
      <w:numFmt w:val="decimal"/>
      <w:lvlText w:val=""/>
      <w:lvlJc w:val="left"/>
    </w:lvl>
  </w:abstractNum>
  <w:num w:numId="1" w16cid:durableId="1408499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26D"/>
    <w:rsid w:val="002E726D"/>
    <w:rsid w:val="00463369"/>
    <w:rsid w:val="004A6BE6"/>
    <w:rsid w:val="00594009"/>
    <w:rsid w:val="005A5A51"/>
    <w:rsid w:val="005B0CD9"/>
    <w:rsid w:val="006361D9"/>
    <w:rsid w:val="00661A6C"/>
    <w:rsid w:val="0074468B"/>
    <w:rsid w:val="00750E2E"/>
    <w:rsid w:val="008326D7"/>
    <w:rsid w:val="0083621B"/>
    <w:rsid w:val="00870FB5"/>
    <w:rsid w:val="00A179EF"/>
    <w:rsid w:val="00BD2FA8"/>
    <w:rsid w:val="00BE7774"/>
    <w:rsid w:val="00C45293"/>
    <w:rsid w:val="00D82097"/>
    <w:rsid w:val="00E56E3F"/>
    <w:rsid w:val="00EF193F"/>
    <w:rsid w:val="00F1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C67D"/>
  <w15:docId w15:val="{E5B91BD3-F736-43A7-90E5-FF182FF1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B Sans Text, Calibri" w:eastAsia="SB Sans Text, Calibri" w:hAnsi="SB Sans Text, Calibri" w:cs="SB Sans Text, 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Horizontalrowline">
    <w:name w:val="Horizontal row line"/>
  </w:style>
  <w:style w:type="paragraph" w:customStyle="1" w:styleId="Codeblock">
    <w:name w:val="Code block"/>
    <w:qFormat/>
    <w:pPr>
      <w:shd w:val="solid" w:color="000000" w:fill="FAFAFA"/>
      <w:ind w:left="360" w:right="360"/>
    </w:pPr>
  </w:style>
  <w:style w:type="paragraph" w:customStyle="1" w:styleId="Blockquote">
    <w:name w:val="Blockquote"/>
    <w:qFormat/>
  </w:style>
  <w:style w:type="character" w:customStyle="1" w:styleId="Inlinecodespan">
    <w:name w:val="Inline code span"/>
    <w:uiPriority w:val="99"/>
    <w:unhideWhenUsed/>
  </w:style>
  <w:style w:type="paragraph" w:styleId="a9">
    <w:name w:val="header"/>
    <w:basedOn w:val="a"/>
    <w:link w:val="aa"/>
    <w:uiPriority w:val="99"/>
    <w:unhideWhenUsed/>
    <w:rsid w:val="0074468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4468B"/>
  </w:style>
  <w:style w:type="paragraph" w:styleId="ab">
    <w:name w:val="footer"/>
    <w:basedOn w:val="a"/>
    <w:link w:val="ac"/>
    <w:uiPriority w:val="99"/>
    <w:unhideWhenUsed/>
    <w:rsid w:val="0074468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44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Radik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GigaChat</dc:creator>
  <dc:description>Created by GigaChat Smart Editor</dc:description>
  <cp:lastModifiedBy>Радик Залалов</cp:lastModifiedBy>
  <cp:revision>8</cp:revision>
  <dcterms:created xsi:type="dcterms:W3CDTF">2026-06-20T15:48:00Z</dcterms:created>
  <dcterms:modified xsi:type="dcterms:W3CDTF">2026-06-20T17:41:00Z</dcterms:modified>
</cp:coreProperties>
</file>