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When creating a new security group, all inbound traffic is allowed by default.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True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In order to enable encryption at rest using EC2 and Elastic Block Store, you must</w:t>
      </w:r>
      <w:r>
        <w:rPr>
          <w:rFonts w:ascii="Helvetica" w:hAnsi="Helvetica" w:hint="default"/>
          <w:sz w:val="44"/>
          <w:szCs w:val="44"/>
          <w:shd w:val="clear" w:color="auto" w:fill="fefffe"/>
          <w:rtl w:val="0"/>
        </w:rPr>
        <w:t> </w:t>
      </w:r>
      <w:r>
        <w:rPr>
          <w:rFonts w:ascii="Helvetica" w:hAnsi="Helvetica"/>
          <w:b w:val="1"/>
          <w:bCs w:val="1"/>
          <w:sz w:val="44"/>
          <w:szCs w:val="44"/>
          <w:shd w:val="clear" w:color="auto" w:fill="fefffe"/>
          <w:rtl w:val="0"/>
          <w:lang w:val="en-US"/>
        </w:rPr>
        <w:t>____</w:t>
      </w:r>
      <w:r>
        <w:rPr>
          <w:rFonts w:ascii="Helvetica" w:hAnsi="Helvetica"/>
          <w:sz w:val="44"/>
          <w:szCs w:val="44"/>
          <w:shd w:val="clear" w:color="auto" w:fill="fefffe"/>
          <w:rtl w:val="0"/>
        </w:rPr>
        <w:t>.</w:t>
      </w:r>
    </w:p>
    <w:p>
      <w:pPr>
        <w:pStyle w:val="Default"/>
        <w:bidi w:val="0"/>
        <w:spacing w:before="0" w:line="4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f7f9fc"/>
          <w:sz w:val="28"/>
          <w:szCs w:val="28"/>
          <w:shd w:val="clear" w:color="auto" w:fill="fefffe"/>
          <w:rtl w:val="0"/>
          <w14:textFill>
            <w14:solidFill>
              <w14:srgbClr w14:val="F7F9FC"/>
            </w14:solidFill>
          </w14:textFill>
        </w:rPr>
      </w:pPr>
    </w:p>
    <w:p>
      <w:pPr>
        <w:pStyle w:val="Default"/>
        <w:bidi w:val="0"/>
        <w:spacing w:before="0" w:line="4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f7f9fc"/>
          <w:sz w:val="28"/>
          <w:szCs w:val="28"/>
          <w:shd w:val="clear" w:color="auto" w:fill="fefffe"/>
          <w:rtl w:val="0"/>
          <w14:textFill>
            <w14:solidFill>
              <w14:srgbClr w14:val="F7F9FC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44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Configure encryption using X.509 certificates</w:t>
      </w:r>
    </w:p>
    <w:p>
      <w:pPr>
        <w:pStyle w:val="Default"/>
        <w:numPr>
          <w:ilvl w:val="0"/>
          <w:numId w:val="3"/>
        </w:numPr>
        <w:bidi w:val="0"/>
        <w:spacing w:before="0" w:line="44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Mount the EBS volume in S3 and then encrypt the bucket</w:t>
      </w:r>
    </w:p>
    <w:p>
      <w:pPr>
        <w:pStyle w:val="Default"/>
        <w:numPr>
          <w:ilvl w:val="0"/>
          <w:numId w:val="3"/>
        </w:numPr>
        <w:bidi w:val="0"/>
        <w:spacing w:before="0" w:line="44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Configure Encryption when creating the  EBS volume</w:t>
      </w:r>
    </w:p>
    <w:p>
      <w:pPr>
        <w:pStyle w:val="Default"/>
        <w:numPr>
          <w:ilvl w:val="0"/>
          <w:numId w:val="3"/>
        </w:numPr>
        <w:bidi w:val="0"/>
        <w:spacing w:before="0" w:line="44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Configure Encryption using the OS file system</w:t>
      </w:r>
    </w:p>
    <w:p>
      <w:pPr>
        <w:pStyle w:val="Default"/>
        <w:bidi w:val="0"/>
        <w:spacing w:before="0" w:line="44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efffe"/>
          <w:rtl w:val="0"/>
        </w:rPr>
      </w:pPr>
    </w:p>
    <w:p>
      <w:pPr>
        <w:pStyle w:val="Default"/>
        <w:bidi w:val="0"/>
        <w:spacing w:before="0" w:line="44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efffe"/>
          <w:rtl w:val="0"/>
        </w:rPr>
      </w:pP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Which of the following provide the least expensive EBS options?</w:t>
      </w: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60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Cold (sc1)</w:t>
      </w:r>
    </w:p>
    <w:p>
      <w:pPr>
        <w:pStyle w:val="Default"/>
        <w:numPr>
          <w:ilvl w:val="0"/>
          <w:numId w:val="3"/>
        </w:numPr>
        <w:bidi w:val="0"/>
        <w:spacing w:before="0" w:line="60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General Purpose (gp2)</w:t>
      </w:r>
    </w:p>
    <w:p>
      <w:pPr>
        <w:pStyle w:val="Default"/>
        <w:numPr>
          <w:ilvl w:val="0"/>
          <w:numId w:val="3"/>
        </w:numPr>
        <w:bidi w:val="0"/>
        <w:spacing w:before="0" w:line="60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Provisioned IOPS (io1)</w:t>
      </w:r>
    </w:p>
    <w:p>
      <w:pPr>
        <w:pStyle w:val="Default"/>
        <w:numPr>
          <w:ilvl w:val="0"/>
          <w:numId w:val="3"/>
        </w:numPr>
        <w:bidi w:val="0"/>
        <w:spacing w:before="0" w:line="600" w:lineRule="atLeast"/>
        <w:ind w:right="0"/>
        <w:jc w:val="left"/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</w:pPr>
      <w:r>
        <w:rPr>
          <w:rFonts w:ascii="Helvetica" w:hAnsi="Helvetica"/>
          <w:sz w:val="28"/>
          <w:szCs w:val="28"/>
          <w:shd w:val="clear" w:color="auto" w:fill="fefffe"/>
          <w:rtl w:val="0"/>
          <w:lang w:val="en-US"/>
        </w:rPr>
        <w:t>Throughput Optimized (st1)</w:t>
      </w: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efffe"/>
          <w:rtl w:val="0"/>
        </w:rPr>
      </w:pP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shd w:val="clear" w:color="auto" w:fill="fefff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Spread Placement Groups can be deployed across multiple Availability Zones</w:t>
      </w: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before="0" w:line="600" w:lineRule="atLeast"/>
        <w:ind w:right="0"/>
        <w:jc w:val="left"/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True</w:t>
      </w:r>
    </w:p>
    <w:p>
      <w:pPr>
        <w:pStyle w:val="Default"/>
        <w:numPr>
          <w:ilvl w:val="0"/>
          <w:numId w:val="2"/>
        </w:numPr>
        <w:bidi w:val="0"/>
        <w:spacing w:before="0" w:line="600" w:lineRule="atLeast"/>
        <w:ind w:right="0"/>
        <w:jc w:val="left"/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efffe"/>
          <w:rtl w:val="0"/>
          <w:lang w:val="en-US"/>
        </w:rPr>
        <w:t>False</w:t>
      </w:r>
    </w:p>
    <w:p>
      <w:pPr>
        <w:pStyle w:val="Default"/>
        <w:bidi w:val="0"/>
        <w:spacing w:before="0" w:line="600" w:lineRule="atLeast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efffe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3f5fa"/>
          <w:rtl w:val="0"/>
        </w:rPr>
      </w:pPr>
      <w:r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  <w:t>Specifically, where in the AWS Global Infrastructure are EC2 instances provisioned?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4"/>
          <w:szCs w:val="44"/>
          <w:shd w:val="clear" w:color="auto" w:fill="f3f5fa"/>
          <w:rtl w:val="0"/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  <w:t>Regions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  <w:t>Availability Zones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</w:pPr>
      <w:r>
        <w:rPr>
          <w:rFonts w:ascii="Helvetica" w:hAnsi="Helvetica"/>
          <w:sz w:val="44"/>
          <w:szCs w:val="44"/>
          <w:shd w:val="clear" w:color="auto" w:fill="f3f5fa"/>
          <w:rtl w:val="0"/>
          <w:lang w:val="en-US"/>
        </w:rPr>
        <w:t>Globally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8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16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5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8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2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60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