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Для того чтобы использовать шаблоны ТК, чек-листов, багрепортов и других документов выберите и откройте версию файла, с которой предпочитаете работать: русскоязычную или англоязычную.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Шаблоны, прикрепленные в ресурсах лекций напрямую, никак не отличаются от тех, которые хранятся по ссылке. Так что, если вам удобно - качайте подходящую версию прямо из ресурсов к лекции.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Если скачать файл не получается - воспользуйтесь внешней ссылкой в ресурсах лекции.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В меню “Файл” в открытом документе выберите вариант “Скачать как” и выберите подходящий для вас формат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Можете работать с шаблоном офлайн на своем компьютере или добавить скачанный документ к себе на google drive и работать в нем онлайн.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