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sdt>
        <w:sdtPr>
          <w:alias w:val="Campo — empresa"/>
          <w:tag w:val="fs-campo-empresa"/>
          <w:id w:val="949795484"/>
          <w:lock w:val="sdtContentLocked"/>
          <w:text/>
        </w:sdtPr>
        <w:sdtContent>
          <w:r>
            <w:t xml:space="preserve">Collective Mining Ltd.</w:t>
          </w:r>
        </w:sdtContent>
      </w:sdt>
    </w:p>
    <w:p>
      <w:pPr>
        <w:jc w:val="center"/>
      </w:pPr>
      <w:sdt>
        <w:sdtPr>
          <w:alias w:val="Campo — titulo"/>
          <w:tag w:val="fs-campo-titulo"/>
          <w:id w:val="194124161"/>
          <w:lock w:val="sdtContentLocked"/>
          <w:text/>
        </w:sdtPr>
        <w:sdtContent>
          <w:r>
            <w:t xml:space="preserve">As at prueba 2</w:t>
          </w:r>
        </w:sdtContent>
      </w:sdt>
    </w:p>
    <w:p>
      <w:pPr>
        <w:jc w:val="center"/>
      </w:pPr>
      <w:r>
        <w:t xml:space="preserve">Al </w:t>
      </w:r>
      <w:sdt>
        <w:sdtPr>
          <w:alias w:val="Campo — fecha_actual"/>
          <w:tag w:val="fs-campo-fecha_actual"/>
          <w:id w:val="1994046349"/>
          <w:lock w:val="sdtContentLocked"/>
          <w:text/>
        </w:sdtPr>
        <w:sdtContent>
          <w:r>
            <w:t xml:space="preserve">June 30,</w:t>
          </w:r>
        </w:sdtContent>
      </w:sdt>
      <w:r>
        <w:t xml:space="preserve"> (</w:t>
      </w:r>
      <w:sdt>
        <w:sdtPr>
          <w:alias w:val="Campo — estado_actual"/>
          <w:tag w:val="fs-campo-estado_actual"/>
          <w:id w:val="1543533272"/>
          <w:lock w:val="sdtContentLocked"/>
          <w:text/>
        </w:sdtPr>
        <w:sdtContent>
          <w:r>
            <w:t xml:space="preserve">Unaudited</w:t>
          </w:r>
        </w:sdtContent>
      </w:sdt>
      <w:r>
        <w:t xml:space="preserve">) — comparado con </w:t>
      </w:r>
      <w:sdt>
        <w:sdtPr>
          <w:alias w:val="Campo — fecha_previa"/>
          <w:tag w:val="fs-campo-fecha_previa"/>
          <w:id w:val="342854558"/>
          <w:lock w:val="sdtContentLocked"/>
          <w:text/>
        </w:sdtPr>
        <w:sdtContent>
          <w:r>
            <w:t xml:space="preserve">December 31,</w:t>
          </w:r>
        </w:sdtContent>
      </w:sdt>
      <w:r>
        <w:t xml:space="preserve"> (</w:t>
      </w:r>
      <w:sdt>
        <w:sdtPr>
          <w:alias w:val="Campo — estado_previo"/>
          <w:tag w:val="fs-campo-estado_previo"/>
          <w:id w:val="1432663014"/>
          <w:lock w:val="sdtContentLocked"/>
          <w:text/>
        </w:sdtPr>
        <w:sdtContent>
          <w:r>
            <w:t xml:space="preserve">Audited</w:t>
          </w:r>
        </w:sdtContent>
      </w:sdt>
      <w:r>
        <w:t xml:space="preserve">)</w:t>
      </w:r>
    </w:p>
    <w:p>
      <w:pPr>
        <w:jc w:val="center"/>
      </w:pPr>
      <w:r>
        <w:t xml:space="preserve">Cifras expresadas en </w:t>
      </w:r>
      <w:sdt>
        <w:sdtPr>
          <w:alias w:val="Campo — moneda"/>
          <w:tag w:val="fs-campo-moneda"/>
          <w:id w:val="924579271"/>
          <w:lock w:val="sdtContentLocked"/>
          <w:text/>
        </w:sdtPr>
        <w:sdtContent>
          <w:r>
            <w:t xml:space="preserve">$</w:t>
          </w:r>
        </w:sdtContent>
      </w:sdt>
      <w:r>
        <w:t xml:space="preserve">, en unidades de </w:t>
      </w:r>
      <w:sdt>
        <w:sdtPr>
          <w:alias w:val="Campo — miles"/>
          <w:tag w:val="fs-campo-miles"/>
          <w:id w:val="1343465776"/>
          <w:lock w:val="sdtContentLocked"/>
          <w:text/>
        </w:sdtPr>
        <w:sdtContent>
          <w:r>
            <w:t xml:space="preserve">1000</w:t>
          </w:r>
        </w:sdtContent>
      </w:sdt>
    </w:p>
    <w:sdt>
      <w:sdtPr>
        <w:alias w:val="Redacción — introduccion"/>
        <w:tag w:val="fs-prosa-introduccion"/>
        <w:id w:val="1194360188"/>
        <w:richText/>
      </w:sdtPr>
      <w:sdtContent>
        <w:p>
          <w:r>
            <w:t xml:space="preserve">Zona de redacción libre. Escriba aquí lo que quiera: este texto NO se toca al refrescar las cifras.</w:t>
          </w:r>
        </w:p>
        <w:p/>
      </w:sdtContent>
    </w:sdt>
    <w:sdt>
      <w:sdtPr>
        <w:alias w:val="Tabla — estado principal"/>
        <w:tag w:val="fs-tabla-principal"/>
        <w:id w:val="1206895849"/>
        <w:lock w:val="sdtContentLocked"/>
        <w:richText/>
      </w:sdtPr>
      <w:sdtContent>
        <w:tbl>
          <w:tblPr>
            <w:tblW w:w="0" w:type="auto"/>
            <w:tblLayout w:type="fixed"/>
          </w:tblPr>
          <w:tblGrid>
            <w:gridCol w:w="4500"/>
            <w:gridCol w:w="900"/>
            <w:gridCol w:w="1980"/>
            <w:gridCol w:w="1980"/>
          </w:tblGrid>
          <w:tr>
            <w:trPr>
              <w:tblHeader/>
            </w:trPr>
            <w:tc>
              <w:tcPr>
                <w:tcW w:w="4500" w:type="dxa"/>
                <w:tcBorders>
                  <w:bottom w:val="single" w:sz="4" w:space="0" w:color="auto"/>
                </w:tcBorders>
              </w:tcPr>
              <w:p>
                <w:r>
                  <w:rPr>
                    <w:b/>
                  </w:rPr>
                  <w:t xml:space="preserve"/>
                </w:r>
              </w:p>
            </w:tc>
            <w:tc>
              <w:tcPr>
                <w:tcW w:w="900" w:type="dxa"/>
                <w:tcBorders>
                  <w:bottom w:val="single" w:sz="4" w:space="0" w:color="auto"/>
                </w:tcBorders>
              </w:tcPr>
              <w:p>
                <w:pPr>
                  <w:jc w:val="center"/>
                </w:pPr>
                <w:r>
                  <w:rPr>
                    <w:b/>
                  </w:rPr>
                  <w:t xml:space="preserve">Nota</w:t>
                </w:r>
              </w:p>
            </w:tc>
            <w:tc>
              <w:tcPr>
                <w:tcW w:w="1980" w:type="dxa"/>
                <w:tcBorders>
                  <w:bottom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/>
                  </w:rPr>
                  <w:t xml:space="preserve">June 30,</w:t>
                </w:r>
              </w:p>
              <w:p>
                <w:pPr>
                  <w:jc w:val="right"/>
                </w:pPr>
                <w:r>
                  <w:rPr>
                    <w:b w:val="0"/>
                    <w:i/>
                  </w:rPr>
                  <w:t xml:space="preserve">Unaudited</w:t>
                </w:r>
              </w:p>
            </w:tc>
            <w:tc>
              <w:tcPr>
                <w:tcW w:w="1980" w:type="dxa"/>
                <w:tcBorders>
                  <w:bottom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/>
                  </w:rPr>
                  <w:t xml:space="preserve">December 31,</w:t>
                </w:r>
              </w:p>
              <w:p>
                <w:pPr>
                  <w:jc w:val="right"/>
                </w:pPr>
                <w:r>
                  <w:rPr>
                    <w:b w:val="0"/>
                    <w:i/>
                  </w:rPr>
                  <w:t xml:space="preserve">Audited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spacing w:before="120"/>
                </w:pPr>
                <w:r>
                  <w:rPr>
                    <w:b/>
                  </w:rPr>
                  <w:t xml:space="preserve">ASSETS</w:t>
                </w:r>
              </w:p>
            </w:tc>
            <w:tc>
              <w:tcPr>
                <w:tcW w:w="900" w:type="dxa"/>
              </w:tcPr>
              <w:p>
                <w:pPr>
                  <w:spacing w:before="12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spacing w:before="120"/>
                </w:pPr>
                <w:r>
                  <w:rPr>
                    <w:b/>
                  </w:rPr>
                  <w:t xml:space="preserve">Current assets:</w:t>
                </w:r>
              </w:p>
            </w:tc>
            <w:tc>
              <w:tcPr>
                <w:tcW w:w="900" w:type="dxa"/>
              </w:tcPr>
              <w:p>
                <w:pPr>
                  <w:spacing w:before="12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Cash and cash equivalents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72,957,812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81,370,000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Receivables and prepaid expenses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2,041,695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813,700</w:t>
                </w:r>
              </w:p>
            </w:tc>
          </w:tr>
          <w:tr>
            <w:tc>
              <w:tcPr>
                <w:tcW w:w="4500" w:type="dxa"/>
                <w:tcBorders>
                  <w:top w:val="single" w:sz="4" w:space="0" w:color="auto"/>
                </w:tcBorders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/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</w:tcBorders>
              </w:tcPr>
              <w:p>
                <w:pPr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74,999,507</w:t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82,183,700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spacing w:before="120"/>
                </w:pPr>
                <w:r>
                  <w:rPr>
                    <w:b/>
                  </w:rPr>
                  <w:t xml:space="preserve">Non-current assets:</w:t>
                </w:r>
              </w:p>
            </w:tc>
            <w:tc>
              <w:tcPr>
                <w:tcW w:w="900" w:type="dxa"/>
              </w:tcPr>
              <w:p>
                <w:pPr>
                  <w:spacing w:before="12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Mining concession asset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2,267,625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6,621,077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Property, plant and equipment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37,477,181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6,621,077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Intangibles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48,822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6,621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VAT receivable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4,273,167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662,108</w:t>
                </w:r>
              </w:p>
            </w:tc>
          </w:tr>
          <w:tr>
            <w:tc>
              <w:tcPr>
                <w:tcW w:w="4500" w:type="dxa"/>
                <w:tcBorders>
                  <w:top w:val="single" w:sz="4" w:space="0" w:color="auto"/>
                </w:tcBorders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/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</w:tcBorders>
              </w:tcPr>
              <w:p>
                <w:pPr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44,066,794</w:t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13,910,883</w:t>
                </w:r>
              </w:p>
            </w:tc>
          </w:tr>
          <w:tr>
            <w:tc>
              <w:tcPr>
                <w:tcW w:w="450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</w:pPr>
                <w:r>
                  <w:rPr>
                    <w:b/>
                  </w:rPr>
                  <w:t xml:space="preserve">Total assets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  <w:jc w:val="right"/>
                </w:pPr>
                <w:r>
                  <w:rPr>
                    <w:b/>
                  </w:rPr>
                  <w:t xml:space="preserve">119,066,301</w:t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  <w:jc w:val="right"/>
                </w:pPr>
                <w:r>
                  <w:rPr>
                    <w:b/>
                  </w:rPr>
                  <w:t xml:space="preserve">96,094,583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spacing w:before="120"/>
                </w:pPr>
                <w:r>
                  <w:rPr>
                    <w:b/>
                  </w:rPr>
                  <w:t xml:space="preserve">LIABILITIES AND EQUITY</w:t>
                </w:r>
              </w:p>
            </w:tc>
            <w:tc>
              <w:tcPr>
                <w:tcW w:w="900" w:type="dxa"/>
              </w:tcPr>
              <w:p>
                <w:pPr>
                  <w:spacing w:before="12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spacing w:before="120"/>
                </w:pPr>
                <w:r>
                  <w:rPr>
                    <w:b/>
                  </w:rPr>
                  <w:t xml:space="preserve">Current liabilities:</w:t>
                </w:r>
              </w:p>
            </w:tc>
            <w:tc>
              <w:tcPr>
                <w:tcW w:w="900" w:type="dxa"/>
              </w:tcPr>
              <w:p>
                <w:pPr>
                  <w:spacing w:before="12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Account payables and accrued liabilities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24,746,961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662,108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Warrants liability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-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ꟷ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Current portion provision for environmental remediation 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81,370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66,211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Current portion of lease liability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81,370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66,211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Current portion of other long-term liabilities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3,387,222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662,108</w:t>
                </w:r>
              </w:p>
            </w:tc>
          </w:tr>
          <w:tr>
            <w:tc>
              <w:tcPr>
                <w:tcW w:w="4500" w:type="dxa"/>
                <w:tcBorders>
                  <w:top w:val="single" w:sz="4" w:space="0" w:color="auto"/>
                </w:tcBorders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/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</w:tcBorders>
              </w:tcPr>
              <w:p>
                <w:pPr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28,296,923</w:t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1,456,637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spacing w:before="120"/>
                </w:pPr>
                <w:r>
                  <w:rPr>
                    <w:b/>
                  </w:rPr>
                  <w:t xml:space="preserve">Non-current liabilities:</w:t>
                </w:r>
              </w:p>
            </w:tc>
            <w:tc>
              <w:tcPr>
                <w:tcW w:w="900" w:type="dxa"/>
              </w:tcPr>
              <w:p>
                <w:pPr>
                  <w:spacing w:before="12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Provision for environmental remediation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81,370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66,211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Lease liability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2,031,041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662,108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Other long-term liabilities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9,760,388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662,108</w:t>
                </w:r>
              </w:p>
            </w:tc>
          </w:tr>
          <w:tr>
            <w:tc>
              <w:tcPr>
                <w:tcW w:w="4500" w:type="dxa"/>
                <w:tcBorders>
                  <w:top w:val="single" w:sz="4" w:space="0" w:color="auto"/>
                </w:tcBorders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/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</w:tcBorders>
              </w:tcPr>
              <w:p>
                <w:pPr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11,872,799</w:t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1,390,426</w:t>
                </w:r>
              </w:p>
            </w:tc>
          </w:tr>
          <w:tr>
            <w:tc>
              <w:tcPr>
                <w:tcW w:w="450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</w:pPr>
                <w:r>
                  <w:rPr>
                    <w:b/>
                  </w:rPr>
                  <w:t xml:space="preserve">Total liabilities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  <w:jc w:val="right"/>
                </w:pPr>
                <w:r>
                  <w:rPr>
                    <w:b/>
                  </w:rPr>
                  <w:t xml:space="preserve">40,169,722</w:t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  <w:jc w:val="right"/>
                </w:pPr>
                <w:r>
                  <w:rPr>
                    <w:b/>
                  </w:rPr>
                  <w:t xml:space="preserve">2,847,063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spacing w:before="120"/>
                </w:pPr>
                <w:r>
                  <w:rPr>
                    <w:b/>
                  </w:rPr>
                  <w:t xml:space="preserve">Equity:</w:t>
                </w:r>
              </w:p>
            </w:tc>
            <w:tc>
              <w:tcPr>
                <w:tcW w:w="900" w:type="dxa"/>
              </w:tcPr>
              <w:p>
                <w:pPr>
                  <w:spacing w:before="12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/>
                  </w:rPr>
                  <w:t xml:space="preserve"/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Share capital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>10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198,706,493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81,370,000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Contributed surplus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29,730,338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6,621,077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>Deficit</w:t>
                </w:r>
              </w:p>
            </w:tc>
            <w:tc>
              <w:tcPr>
                <w:tcW w:w="900" w:type="dxa"/>
              </w:tcPr>
              <w:p>
                <w:pPr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(142,204,537)</w:t>
                </w:r>
              </w:p>
            </w:tc>
            <w:tc>
              <w:tcPr>
                <w:tcW w:w="1980" w:type="dxa"/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(13,242,154)</w:t>
                </w:r>
              </w:p>
            </w:tc>
          </w:tr>
          <w:tr>
            <w:tc>
              <w:tcPr>
                <w:tcW w:w="4500" w:type="dxa"/>
                <w:tcBorders>
                  <w:top w:val="single" w:sz="4" w:space="0" w:color="auto"/>
                </w:tcBorders>
              </w:tcPr>
              <w:p>
                <w:pPr>
                  <w:ind w:left="220"/>
                </w:pPr>
                <w:r>
                  <w:rPr>
                    <w:b w:val="0"/>
                  </w:rPr>
                  <w:t xml:space="preserve"/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</w:tcBorders>
              </w:tcPr>
              <w:p>
                <w:pPr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86,232,294</w:t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</w:tcBorders>
              </w:tcPr>
              <w:p>
                <w:pPr>
                  <w:jc w:val="right"/>
                </w:pPr>
                <w:r>
                  <w:rPr>
                    <w:b w:val="0"/>
                  </w:rPr>
                  <w:t xml:space="preserve">74,748,923</w:t>
                </w:r>
              </w:p>
            </w:tc>
          </w:tr>
          <w:tr>
            <w:tc>
              <w:tcPr>
                <w:tcW w:w="450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</w:pPr>
                <w:r>
                  <w:rPr>
                    <w:b/>
                  </w:rPr>
                  <w:t xml:space="preserve">Total liabilities and equity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  <w:jc w:val="right"/>
                </w:pPr>
                <w:r>
                  <w:rPr>
                    <w:b/>
                  </w:rPr>
                  <w:t xml:space="preserve">126,402,016</w:t>
                </w:r>
              </w:p>
            </w:tc>
            <w:tc>
              <w:tcPr>
                <w:tcW w:w="1980" w:type="dxa"/>
                <w:tcBorders>
                  <w:top w:val="single" w:sz="4" w:space="0" w:color="auto"/>
                  <w:bottom w:val="double" w:sz="4" w:space="0" w:color="auto"/>
                </w:tcBorders>
              </w:tcPr>
              <w:p>
                <w:pPr>
                  <w:spacing w:before="60"/>
                  <w:jc w:val="right"/>
                </w:pPr>
                <w:r>
                  <w:rPr>
                    <w:b/>
                  </w:rPr>
                  <w:t xml:space="preserve">77,595,986</w:t>
                </w:r>
              </w:p>
            </w:tc>
          </w:tr>
          <w:tr>
            <w:tc>
              <w:tcPr>
                <w:tcW w:w="4500" w:type="dxa"/>
              </w:tcPr>
              <w:p>
                <w:pPr>
                  <w:spacing w:before="120"/>
                </w:pPr>
                <w:r>
                  <w:rPr>
                    <w:b w:val="0"/>
                    <w:i/>
                  </w:rPr>
                  <w:t xml:space="preserve">Commitments, options agreements and contingencies</w:t>
                </w:r>
              </w:p>
            </w:tc>
            <w:tc>
              <w:tcPr>
                <w:tcW w:w="900" w:type="dxa"/>
              </w:tcPr>
              <w:p>
                <w:pPr>
                  <w:spacing w:before="120"/>
                  <w:jc w:val="center"/>
                </w:pPr>
                <w: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 w:val="0"/>
                  </w:rPr>
                  <w:t xml:space="preserve"/>
                </w:r>
              </w:p>
            </w:tc>
            <w:tc>
              <w:tcPr>
                <w:tcW w:w="1980" w:type="dxa"/>
              </w:tcPr>
              <w:p>
                <w:pPr>
                  <w:spacing w:before="120"/>
                  <w:jc w:val="right"/>
                </w:pPr>
                <w:r>
                  <w:rPr>
                    <w:b w:val="0"/>
                  </w:rPr>
                  <w:t xml:space="preserve"/>
                </w:r>
              </w:p>
            </w:tc>
          </w:tr>
        </w:tbl>
      </w:sdtContent>
    </w:sdt>
    <w:p/>
    <w:sdt>
      <w:sdtPr>
        <w:alias w:val="Redacción — analisis"/>
        <w:tag w:val="fs-prosa-analisis"/>
        <w:id w:val="576160698"/>
        <w:richText/>
      </w:sdtPr>
      <w:sdtContent>
        <w:p>
          <w:r>
            <w:t xml:space="preserve">Zona de análisis. Aquí puede intercalar cifras vivas: use «fs_documento.py catalogo» para ver las claves disponibles.</w:t>
          </w:r>
        </w:p>
        <w:p/>
      </w:sdtContent>
    </w:sdt>
    <w:sdt>
      <w:sdtPr>
        <w:alias w:val="Bitácora de actualizaciones"/>
        <w:tag w:val="fs-registro"/>
        <w:id w:val="402212238"/>
        <w:lock w:val="sdtContentLocked"/>
        <w:richText/>
      </w:sdtPr>
      <w:sdtContent>
        <w:p>
          <w:r>
            <w:rPr>
              <w:b/>
            </w:rPr>
            <w:t xml:space="preserve">Bitácora de actualizaciones</w:t>
          </w:r>
        </w:p>
      </w:sdtContent>
    </w:sdt>
    <w:sdt>
      <w:sdtPr>
        <w:alias w:val="Metadatos (oculto)"/>
        <w:tag w:val="fs-meta"/>
        <w:id w:val="142334328"/>
        <w:lock w:val="sdtContentLocked"/>
        <w:richText/>
      </w:sdtPr>
      <w:sdtContent>
        <w:p>
          <w:r>
            <w:rPr>
              <w:vanish/>
            </w:rPr>
            <w:t xml:space="preserve">{}</w:t>
          </w:r>
        </w:p>
      </w:sdtContent>
    </w:sd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