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0C6B8C"/>
          <w:sz w:val="44"/>
        </w:rPr>
        <w:t>Reconstrucción del formulario SAGRILAFT en Microsoft Forms</w:t>
      </w:r>
    </w:p>
    <w:p>
      <w:pPr>
        <w:spacing w:after="40"/>
      </w:pPr>
      <w:r>
        <w:rPr>
          <w:rFonts w:ascii="Segoe UI" w:hAnsi="Segoe UI"/>
          <w:b/>
          <w:i w:val="0"/>
          <w:color w:val="20A7C9"/>
          <w:sz w:val="24"/>
        </w:rPr>
        <w:t>Guía maestra de importación, simulación de funciones y tema de marca — Persona Natural y Persona Jurídica</w:t>
      </w:r>
    </w:p>
    <w:p>
      <w:pPr>
        <w:spacing w:after="240"/>
      </w:pPr>
      <w:r>
        <w:rPr>
          <w:rFonts w:ascii="Segoe UI" w:hAnsi="Segoe UI"/>
          <w:b w:val="0"/>
          <w:i/>
          <w:color w:val="9E9E9E"/>
          <w:sz w:val="19"/>
        </w:rPr>
        <w:t>Collective Mining · Documento de trabajo · Junio 2026</w:t>
      </w:r>
    </w:p>
    <w:p>
      <w:pPr>
        <w:spacing w:after="160"/>
      </w:pPr>
      <w:r>
        <w:rPr>
          <w:rFonts w:ascii="Segoe UI" w:hAnsi="Segoe UI"/>
          <w:b w:val="0"/>
          <w:i w:val="0"/>
          <w:color w:val="424242"/>
          <w:sz w:val="21"/>
        </w:rPr>
        <w:t>Este documento acompaña a los dos archivos de Importación rápida (Forms_Importar_PersonaNatural.docx y Forms_Importar_PersonaJuridica.docx). La importación crea las preguntas rápidamente; aquí está todo lo que debe ajustarse a mano para acercar el formulario al original: tipos de pregunta, listas desplegables, ramificación, textos de ayuda, grupos repetibles, y el tema de color de Collective Mining.</w:t>
      </w:r>
    </w:p>
    <w:p>
      <w:pPr>
        <w:spacing w:before="200" w:after="80"/>
      </w:pPr>
      <w:r>
        <w:rPr>
          <w:rFonts w:ascii="Segoe UI" w:hAnsi="Segoe UI"/>
          <w:b/>
          <w:color w:val="0C6B8C"/>
          <w:sz w:val="32"/>
        </w:rPr>
        <w:t>1. Qué se puede replicar en Forms y qué no</w:t>
      </w:r>
    </w:p>
    <w:p>
      <w:pPr>
        <w:spacing w:after="80"/>
      </w:pPr>
      <w:r>
        <w:rPr>
          <w:rFonts w:ascii="Segoe UI" w:hAnsi="Segoe UI"/>
          <w:b w:val="0"/>
          <w:i w:val="0"/>
          <w:color w:val="424242"/>
          <w:sz w:val="21"/>
        </w:rPr>
        <w:t>Microsoft Forms es un motor de encuestas, no un formulario programable. Conviene fijar expectativas antes de empezar: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0C6B8C"/>
          </w:tcPr>
          <w:p>
            <w:r/>
            <w:r>
              <w:rPr>
                <w:b/>
                <w:color w:val="FFFFFF"/>
                <w:sz w:val="20"/>
              </w:rPr>
              <w:t>Función del formulario original</w:t>
            </w:r>
          </w:p>
        </w:tc>
        <w:tc>
          <w:tcPr>
            <w:tcW w:type="dxa" w:w="2880"/>
            <w:shd w:val="clear" w:fill="0C6B8C"/>
          </w:tcPr>
          <w:p>
            <w:r/>
            <w:r>
              <w:rPr>
                <w:b/>
                <w:color w:val="FFFFFF"/>
                <w:sz w:val="20"/>
              </w:rPr>
              <w:t>¿En Forms?</w:t>
            </w:r>
          </w:p>
        </w:tc>
        <w:tc>
          <w:tcPr>
            <w:tcW w:type="dxa" w:w="2880"/>
            <w:shd w:val="clear" w:fill="0C6B8C"/>
          </w:tcPr>
          <w:p>
            <w:r/>
            <w:r>
              <w:rPr>
                <w:b/>
                <w:color w:val="FFFFFF"/>
                <w:sz w:val="20"/>
              </w:rPr>
              <w:t>Cómo se resuelve</w:t>
            </w:r>
          </w:p>
        </w:tc>
      </w:tr>
      <w:tr>
        <w:tc>
          <w:tcPr>
            <w:tcW w:type="dxa" w:w="2880"/>
          </w:tcPr>
          <w:p>
            <w:r>
              <w:rPr>
                <w:color w:val="424242"/>
                <w:sz w:val="18"/>
              </w:rPr>
              <w:t>Secciones / páginas</w:t>
            </w:r>
          </w:p>
        </w:tc>
        <w:tc>
          <w:tcPr>
            <w:tcW w:type="dxa" w:w="2880"/>
          </w:tcPr>
          <w:p>
            <w:r>
              <w:rPr>
                <w:b/>
                <w:color w:val="2E7D32"/>
                <w:sz w:val="18"/>
              </w:rPr>
              <w:t>Sí (nativo)</w:t>
            </w:r>
          </w:p>
        </w:tc>
        <w:tc>
          <w:tcPr>
            <w:tcW w:type="dxa" w:w="2880"/>
          </w:tcPr>
          <w:p>
            <w:r>
              <w:rPr>
                <w:color w:val="424242"/>
                <w:sz w:val="18"/>
              </w:rPr>
              <w:t>'Agregar nueva sección' — una por cada bloque del formulario.</w:t>
            </w:r>
          </w:p>
        </w:tc>
      </w:tr>
      <w:tr>
        <w:tc>
          <w:tcPr>
            <w:tcW w:type="dxa" w:w="2880"/>
          </w:tcPr>
          <w:p>
            <w:r>
              <w:rPr>
                <w:color w:val="424242"/>
                <w:sz w:val="18"/>
              </w:rPr>
              <w:t>Preguntas obligatorias</w:t>
            </w:r>
          </w:p>
        </w:tc>
        <w:tc>
          <w:tcPr>
            <w:tcW w:type="dxa" w:w="2880"/>
          </w:tcPr>
          <w:p>
            <w:r>
              <w:rPr>
                <w:b/>
                <w:color w:val="2E7D32"/>
                <w:sz w:val="18"/>
              </w:rPr>
              <w:t>Sí (nativo)</w:t>
            </w:r>
          </w:p>
        </w:tc>
        <w:tc>
          <w:tcPr>
            <w:tcW w:type="dxa" w:w="2880"/>
          </w:tcPr>
          <w:p>
            <w:r>
              <w:rPr>
                <w:color w:val="424242"/>
                <w:sz w:val="18"/>
              </w:rPr>
              <w:t>Marca 'Obligatorio' en cada pregunta con * (el importador no la transfiere).</w:t>
            </w:r>
          </w:p>
        </w:tc>
      </w:tr>
      <w:tr>
        <w:tc>
          <w:tcPr>
            <w:tcW w:type="dxa" w:w="2880"/>
          </w:tcPr>
          <w:p>
            <w:r>
              <w:rPr>
                <w:color w:val="424242"/>
                <w:sz w:val="18"/>
              </w:rPr>
              <w:t>Listas desplegables</w:t>
            </w:r>
          </w:p>
        </w:tc>
        <w:tc>
          <w:tcPr>
            <w:tcW w:type="dxa" w:w="2880"/>
          </w:tcPr>
          <w:p>
            <w:r>
              <w:rPr>
                <w:b/>
                <w:color w:val="2E7D32"/>
                <w:sz w:val="18"/>
              </w:rPr>
              <w:t>Sí (nativo)</w:t>
            </w:r>
          </w:p>
        </w:tc>
        <w:tc>
          <w:tcPr>
            <w:tcW w:type="dxa" w:w="2880"/>
          </w:tcPr>
          <w:p>
            <w:r>
              <w:rPr>
                <w:color w:val="424242"/>
                <w:sz w:val="18"/>
              </w:rPr>
              <w:t>Opción → 'Lista desplegable'. Se pegan los catálogos cortos.</w:t>
            </w:r>
          </w:p>
        </w:tc>
      </w:tr>
      <w:tr>
        <w:tc>
          <w:tcPr>
            <w:tcW w:type="dxa" w:w="2880"/>
          </w:tcPr>
          <w:p>
            <w:r>
              <w:rPr>
                <w:color w:val="424242"/>
                <w:sz w:val="18"/>
              </w:rPr>
              <w:t>Ramificación (mostrar/ocultar)</w:t>
            </w:r>
          </w:p>
        </w:tc>
        <w:tc>
          <w:tcPr>
            <w:tcW w:type="dxa" w:w="2880"/>
          </w:tcPr>
          <w:p>
            <w:r>
              <w:rPr>
                <w:b/>
                <w:color w:val="EF6C00"/>
                <w:sz w:val="18"/>
              </w:rPr>
              <w:t>Parcial</w:t>
            </w:r>
          </w:p>
        </w:tc>
        <w:tc>
          <w:tcPr>
            <w:tcW w:type="dxa" w:w="2880"/>
          </w:tcPr>
          <w:p>
            <w:r>
              <w:rPr>
                <w:color w:val="424242"/>
                <w:sz w:val="18"/>
              </w:rPr>
              <w:t>Solo salta a secciones según una pregunta de Opción. No oculta campos individuales en vivo.</w:t>
            </w:r>
          </w:p>
        </w:tc>
      </w:tr>
      <w:tr>
        <w:tc>
          <w:tcPr>
            <w:tcW w:type="dxa" w:w="2880"/>
          </w:tcPr>
          <w:p>
            <w:r>
              <w:rPr>
                <w:color w:val="424242"/>
                <w:sz w:val="18"/>
              </w:rPr>
              <w:t>'Otro' → respuesta abierta</w:t>
            </w:r>
          </w:p>
        </w:tc>
        <w:tc>
          <w:tcPr>
            <w:tcW w:type="dxa" w:w="2880"/>
          </w:tcPr>
          <w:p>
            <w:r>
              <w:rPr>
                <w:b/>
                <w:color w:val="2E7D32"/>
                <w:sz w:val="18"/>
              </w:rPr>
              <w:t>Sí (nativo)</w:t>
            </w:r>
          </w:p>
        </w:tc>
        <w:tc>
          <w:tcPr>
            <w:tcW w:type="dxa" w:w="2880"/>
          </w:tcPr>
          <w:p>
            <w:r>
              <w:rPr>
                <w:color w:val="424242"/>
                <w:sz w:val="18"/>
              </w:rPr>
              <w:t>Activa 'Opción Otro' en la pregunta de Opción; Forms agrega la casilla de texto.</w:t>
            </w:r>
          </w:p>
        </w:tc>
      </w:tr>
      <w:tr>
        <w:tc>
          <w:tcPr>
            <w:tcW w:type="dxa" w:w="2880"/>
          </w:tcPr>
          <w:p>
            <w:r>
              <w:rPr>
                <w:color w:val="424242"/>
                <w:sz w:val="18"/>
              </w:rPr>
              <w:t>Dropdown con búsqueda</w:t>
            </w:r>
          </w:p>
        </w:tc>
        <w:tc>
          <w:tcPr>
            <w:tcW w:type="dxa" w:w="2880"/>
          </w:tcPr>
          <w:p>
            <w:r>
              <w:rPr>
                <w:b/>
                <w:color w:val="B71C1C"/>
                <w:sz w:val="18"/>
              </w:rPr>
              <w:t>No</w:t>
            </w:r>
          </w:p>
        </w:tc>
        <w:tc>
          <w:tcPr>
            <w:tcW w:type="dxa" w:w="2880"/>
          </w:tcPr>
          <w:p>
            <w:r>
              <w:rPr>
                <w:color w:val="424242"/>
                <w:sz w:val="18"/>
              </w:rPr>
              <w:t>Forms no tiene buscador. Catálogos enormes (ciudades, CIIU) van como texto.</w:t>
            </w:r>
          </w:p>
        </w:tc>
      </w:tr>
      <w:tr>
        <w:tc>
          <w:tcPr>
            <w:tcW w:type="dxa" w:w="2880"/>
          </w:tcPr>
          <w:p>
            <w:r>
              <w:rPr>
                <w:color w:val="424242"/>
                <w:sz w:val="18"/>
              </w:rPr>
              <w:t>Cascada País→Depto→Ciudad</w:t>
            </w:r>
          </w:p>
        </w:tc>
        <w:tc>
          <w:tcPr>
            <w:tcW w:type="dxa" w:w="2880"/>
          </w:tcPr>
          <w:p>
            <w:r>
              <w:rPr>
                <w:b/>
                <w:color w:val="B71C1C"/>
                <w:sz w:val="18"/>
              </w:rPr>
              <w:t>No</w:t>
            </w:r>
          </w:p>
        </w:tc>
        <w:tc>
          <w:tcPr>
            <w:tcW w:type="dxa" w:w="2880"/>
          </w:tcPr>
          <w:p>
            <w:r>
              <w:rPr>
                <w:color w:val="424242"/>
                <w:sz w:val="18"/>
              </w:rPr>
              <w:t>Se capturan como tres listas/textos independientes.</w:t>
            </w:r>
          </w:p>
        </w:tc>
      </w:tr>
      <w:tr>
        <w:tc>
          <w:tcPr>
            <w:tcW w:type="dxa" w:w="2880"/>
          </w:tcPr>
          <w:p>
            <w:r>
              <w:rPr>
                <w:color w:val="424242"/>
                <w:sz w:val="18"/>
              </w:rPr>
              <w:t>Acordeones</w:t>
            </w:r>
          </w:p>
        </w:tc>
        <w:tc>
          <w:tcPr>
            <w:tcW w:type="dxa" w:w="2880"/>
          </w:tcPr>
          <w:p>
            <w:r>
              <w:rPr>
                <w:b/>
                <w:color w:val="B71C1C"/>
                <w:sz w:val="18"/>
              </w:rPr>
              <w:t>No</w:t>
            </w:r>
          </w:p>
        </w:tc>
        <w:tc>
          <w:tcPr>
            <w:tcW w:type="dxa" w:w="2880"/>
          </w:tcPr>
          <w:p>
            <w:r>
              <w:rPr>
                <w:color w:val="424242"/>
                <w:sz w:val="18"/>
              </w:rPr>
              <w:t>Se simulan con Secciones colapsables por página (ver §6).</w:t>
            </w:r>
          </w:p>
        </w:tc>
      </w:tr>
      <w:tr>
        <w:tc>
          <w:tcPr>
            <w:tcW w:type="dxa" w:w="2880"/>
          </w:tcPr>
          <w:p>
            <w:r>
              <w:rPr>
                <w:color w:val="424242"/>
                <w:sz w:val="18"/>
              </w:rPr>
              <w:t>Grupos repetibles dinámicos</w:t>
            </w:r>
          </w:p>
        </w:tc>
        <w:tc>
          <w:tcPr>
            <w:tcW w:type="dxa" w:w="2880"/>
          </w:tcPr>
          <w:p>
            <w:r>
              <w:rPr>
                <w:b/>
                <w:color w:val="B71C1C"/>
                <w:sz w:val="18"/>
              </w:rPr>
              <w:t>No</w:t>
            </w:r>
          </w:p>
        </w:tc>
        <w:tc>
          <w:tcPr>
            <w:tcW w:type="dxa" w:w="2880"/>
          </w:tcPr>
          <w:p>
            <w:r>
              <w:rPr>
                <w:color w:val="424242"/>
                <w:sz w:val="18"/>
              </w:rPr>
              <w:t>Se incluyen N bloques numerados fijos; para más, duplicar preguntas.</w:t>
            </w:r>
          </w:p>
        </w:tc>
      </w:tr>
      <w:tr>
        <w:tc>
          <w:tcPr>
            <w:tcW w:type="dxa" w:w="2880"/>
          </w:tcPr>
          <w:p>
            <w:r>
              <w:rPr>
                <w:color w:val="424242"/>
                <w:sz w:val="18"/>
              </w:rPr>
              <w:t>Auto-cálculo (Patrimonio)</w:t>
            </w:r>
          </w:p>
        </w:tc>
        <w:tc>
          <w:tcPr>
            <w:tcW w:type="dxa" w:w="2880"/>
          </w:tcPr>
          <w:p>
            <w:r>
              <w:rPr>
                <w:b/>
                <w:color w:val="B71C1C"/>
                <w:sz w:val="18"/>
              </w:rPr>
              <w:t>No</w:t>
            </w:r>
          </w:p>
        </w:tc>
        <w:tc>
          <w:tcPr>
            <w:tcW w:type="dxa" w:w="2880"/>
          </w:tcPr>
          <w:p>
            <w:r>
              <w:rPr>
                <w:color w:val="424242"/>
                <w:sz w:val="18"/>
              </w:rPr>
              <w:t>Se captura manualmente; se valida después en la base de datos.</w:t>
            </w:r>
          </w:p>
        </w:tc>
      </w:tr>
      <w:tr>
        <w:tc>
          <w:tcPr>
            <w:tcW w:type="dxa" w:w="2880"/>
          </w:tcPr>
          <w:p>
            <w:r>
              <w:rPr>
                <w:color w:val="424242"/>
                <w:sz w:val="18"/>
              </w:rPr>
              <w:t>Iconos de información (i)</w:t>
            </w:r>
          </w:p>
        </w:tc>
        <w:tc>
          <w:tcPr>
            <w:tcW w:type="dxa" w:w="2880"/>
          </w:tcPr>
          <w:p>
            <w:r>
              <w:rPr>
                <w:b/>
                <w:color w:val="EF6C00"/>
                <w:sz w:val="18"/>
              </w:rPr>
              <w:t>Aproximado</w:t>
            </w:r>
          </w:p>
        </w:tc>
        <w:tc>
          <w:tcPr>
            <w:tcW w:type="dxa" w:w="2880"/>
          </w:tcPr>
          <w:p>
            <w:r>
              <w:rPr>
                <w:color w:val="424242"/>
                <w:sz w:val="18"/>
              </w:rPr>
              <w:t>Pasan al 'Subtítulo' de cada pregunta (ver §7).</w:t>
            </w:r>
          </w:p>
        </w:tc>
      </w:tr>
      <w:tr>
        <w:tc>
          <w:tcPr>
            <w:tcW w:type="dxa" w:w="2880"/>
          </w:tcPr>
          <w:p>
            <w:r>
              <w:rPr>
                <w:color w:val="424242"/>
                <w:sz w:val="18"/>
              </w:rPr>
              <w:t>Cargas de archivo (PDF)</w:t>
            </w:r>
          </w:p>
        </w:tc>
        <w:tc>
          <w:tcPr>
            <w:tcW w:type="dxa" w:w="2880"/>
          </w:tcPr>
          <w:p>
            <w:r>
              <w:rPr>
                <w:b/>
                <w:color w:val="2E7D32"/>
                <w:sz w:val="18"/>
              </w:rPr>
              <w:t>Sí (nativo)</w:t>
            </w:r>
          </w:p>
        </w:tc>
        <w:tc>
          <w:tcPr>
            <w:tcW w:type="dxa" w:w="2880"/>
          </w:tcPr>
          <w:p>
            <w:r>
              <w:rPr>
                <w:color w:val="424242"/>
                <w:sz w:val="18"/>
              </w:rPr>
              <w:t>Se crean a mano; el importador no las genera.</w:t>
            </w:r>
          </w:p>
        </w:tc>
      </w:tr>
      <w:tr>
        <w:tc>
          <w:tcPr>
            <w:tcW w:type="dxa" w:w="2880"/>
          </w:tcPr>
          <w:p>
            <w:r>
              <w:rPr>
                <w:color w:val="424242"/>
                <w:sz w:val="18"/>
              </w:rPr>
              <w:t>Colores de marca</w:t>
            </w:r>
          </w:p>
        </w:tc>
        <w:tc>
          <w:tcPr>
            <w:tcW w:type="dxa" w:w="2880"/>
          </w:tcPr>
          <w:p>
            <w:r>
              <w:rPr>
                <w:b/>
                <w:color w:val="2E7D32"/>
                <w:sz w:val="18"/>
              </w:rPr>
              <w:t>Sí (tema)</w:t>
            </w:r>
          </w:p>
        </w:tc>
        <w:tc>
          <w:tcPr>
            <w:tcW w:type="dxa" w:w="2880"/>
          </w:tcPr>
          <w:p>
            <w:r>
              <w:rPr>
                <w:color w:val="424242"/>
                <w:sz w:val="18"/>
              </w:rPr>
              <w:t>Tema personalizado con la paleta de Collective Mining (ver §8).</w:t>
            </w:r>
          </w:p>
        </w:tc>
      </w:tr>
    </w:tbl>
    <w:p>
      <w:pPr>
        <w:spacing w:after="40"/>
      </w:pPr>
      <w:r>
        <w:rPr>
          <w:rFonts w:ascii="Segoe UI" w:hAnsi="Segoe UI"/>
          <w:b w:val="0"/>
          <w:i w:val="0"/>
          <w:color w:val="424242"/>
          <w:sz w:val="21"/>
        </w:rPr>
      </w:r>
    </w:p>
    <w:p>
      <w:pPr>
        <w:spacing w:after="160"/>
      </w:pPr>
      <w:r>
        <w:rPr>
          <w:rFonts w:ascii="Segoe UI" w:hAnsi="Segoe UI"/>
          <w:b w:val="0"/>
          <w:i/>
          <w:color w:val="424242"/>
          <w:sz w:val="21"/>
        </w:rPr>
        <w:t>Conclusión honesta: con Forms se logra un formulario fiel en contenido y en marca, y razonablemente fiel en lógica (ramificación por secciones). Las funciones realmente dinámicas del original (cascadas, buscadores, repetición ilimitada, auto-cálculo) no existen en Forms; abajo se indica la mejor simulación de cada una. Si esas funciones son indispensables, la alternativa nativa de Microsoft es Power Apps / Power Pages, no Forms.</w:t>
      </w:r>
    </w:p>
    <w:p>
      <w:pPr>
        <w:spacing w:before="200" w:after="80"/>
      </w:pPr>
      <w:r>
        <w:rPr>
          <w:rFonts w:ascii="Segoe UI" w:hAnsi="Segoe UI"/>
          <w:b/>
          <w:color w:val="0C6B8C"/>
          <w:sz w:val="32"/>
        </w:rPr>
        <w:t>2. Importar los dos archivos</w:t>
      </w:r>
    </w:p>
    <w:p>
      <w:pPr>
        <w:pStyle w:val="ListBullet"/>
      </w:pPr>
      <w:r>
        <w:rPr>
          <w:rFonts w:ascii="Segoe UI" w:hAnsi="Segoe UI"/>
          <w:color w:val="424242"/>
          <w:sz w:val="21"/>
        </w:rPr>
        <w:t>En Microsoft Forms: Nuevo formulario → Importación rápida → Cargar desde este dispositivo → elige el .docx → importar como 'Formulario'. Repite con el otro archivo en un formulario NUEVO.</w:t>
      </w:r>
    </w:p>
    <w:p>
      <w:pPr>
        <w:pStyle w:val="ListBullet"/>
      </w:pPr>
      <w:r>
        <w:rPr>
          <w:rFonts w:ascii="Segoe UI" w:hAnsi="Segoe UI"/>
          <w:color w:val="424242"/>
          <w:sz w:val="21"/>
        </w:rPr>
        <w:t>Importa en formularios SEPARADOS: uno para Persona Natural y otro para Persona Jurídica, para que no se mezclen los campos.</w:t>
      </w:r>
    </w:p>
    <w:p>
      <w:pPr>
        <w:pStyle w:val="ListBullet"/>
      </w:pPr>
      <w:r>
        <w:rPr>
          <w:rFonts w:ascii="Segoe UI" w:hAnsi="Segoe UI"/>
          <w:color w:val="424242"/>
          <w:sz w:val="21"/>
        </w:rPr>
        <w:t>El importador reconoce: Título (nombre y líneas 'Sección:'), Encabezado 1 (pregunta) y Encabezado 2 (opciones / línea '____'). Solo crea preguntas de Opción y Texto.</w:t>
      </w:r>
    </w:p>
    <w:p>
      <w:pPr>
        <w:pStyle w:val="ListBullet"/>
      </w:pPr>
      <w:r>
        <w:rPr>
          <w:rFonts w:ascii="Segoe UI" w:hAnsi="Segoe UI"/>
          <w:color w:val="424242"/>
          <w:sz w:val="21"/>
        </w:rPr>
        <w:t>Tras importar, borra las preguntas-basura que el importador haya creado a partir de las líneas 'Sección:' y conviértelas en secciones reales (paso 3).</w:t>
      </w:r>
    </w:p>
    <w:p>
      <w:pPr>
        <w:spacing w:after="160"/>
      </w:pPr>
      <w:r>
        <w:rPr>
          <w:rFonts w:ascii="Segoe UI" w:hAnsi="Segoe UI"/>
          <w:b w:val="0"/>
          <w:i/>
          <w:color w:val="424242"/>
          <w:sz w:val="21"/>
        </w:rPr>
        <w:t>Novedad de estos archivos: las preguntas ya traen entre corchetes la instrucción de conversión (p. ej. '[convertir a Lista desplegable — Paises]', '(FECHA — convertir a Fecha)', '(adjuntar PDF)') y la condición de visibilidad ('[solo si … = Si]'). Borra ese texto entre corchetes del enunciado final una vez configurada la pregunta.</w:t>
      </w:r>
    </w:p>
    <w:p>
      <w:pPr>
        <w:spacing w:before="200" w:after="80"/>
      </w:pPr>
      <w:r>
        <w:rPr>
          <w:rFonts w:ascii="Segoe UI" w:hAnsi="Segoe UI"/>
          <w:b/>
          <w:color w:val="0C6B8C"/>
          <w:sz w:val="32"/>
        </w:rPr>
        <w:t>3. Convertir los tipos que el importador no soporta</w:t>
      </w:r>
    </w:p>
    <w:p>
      <w:pPr>
        <w:spacing w:after="60"/>
      </w:pPr>
      <w:r>
        <w:rPr>
          <w:rFonts w:ascii="Segoe UI" w:hAnsi="Segoe UI"/>
          <w:b w:val="0"/>
          <w:i w:val="0"/>
          <w:color w:val="424242"/>
          <w:sz w:val="21"/>
        </w:rPr>
        <w:t>Todo lo siguiente quedó como Texto u Opción y debe ajustarse:</w:t>
      </w:r>
    </w:p>
    <w:p>
      <w:pPr>
        <w:pStyle w:val="ListBullet"/>
      </w:pPr>
      <w:r>
        <w:rPr>
          <w:rFonts w:ascii="Segoe UI" w:hAnsi="Segoe UI"/>
          <w:b/>
          <w:color w:val="0B5E7B"/>
          <w:sz w:val="21"/>
        </w:rPr>
        <w:t xml:space="preserve">Obligatorias. </w:t>
      </w:r>
      <w:r>
        <w:rPr>
          <w:rFonts w:ascii="Segoe UI" w:hAnsi="Segoe UI"/>
          <w:color w:val="424242"/>
          <w:sz w:val="21"/>
        </w:rPr>
        <w:t>Marca como Obligatoria toda pregunta cuyo enunciado termina en *.</w:t>
      </w:r>
    </w:p>
    <w:p>
      <w:pPr>
        <w:pStyle w:val="ListBullet"/>
      </w:pPr>
      <w:r>
        <w:rPr>
          <w:rFonts w:ascii="Segoe UI" w:hAnsi="Segoe UI"/>
          <w:b/>
          <w:color w:val="0B5E7B"/>
          <w:sz w:val="21"/>
        </w:rPr>
        <w:t xml:space="preserve">Fechas. </w:t>
      </w:r>
      <w:r>
        <w:rPr>
          <w:rFonts w:ascii="Segoe UI" w:hAnsi="Segoe UI"/>
          <w:color w:val="424242"/>
          <w:sz w:val="21"/>
        </w:rPr>
        <w:t>Todas las preguntas con '(FECHA …)' → cámbialas a tipo Fecha.</w:t>
      </w:r>
    </w:p>
    <w:p>
      <w:pPr>
        <w:pStyle w:val="ListBullet"/>
      </w:pPr>
      <w:r>
        <w:rPr>
          <w:rFonts w:ascii="Segoe UI" w:hAnsi="Segoe UI"/>
          <w:b/>
          <w:color w:val="0B5E7B"/>
          <w:sz w:val="21"/>
        </w:rPr>
        <w:t xml:space="preserve">Archivos. </w:t>
      </w:r>
      <w:r>
        <w:rPr>
          <w:rFonts w:ascii="Segoe UI" w:hAnsi="Segoe UI"/>
          <w:color w:val="424242"/>
          <w:sz w:val="21"/>
        </w:rPr>
        <w:t>Las preguntas con '(adjuntar PDF)' → créalas como 'Carga de archivos' (PDF, 10 MB). El importador no las trae.</w:t>
      </w:r>
    </w:p>
    <w:p>
      <w:pPr>
        <w:pStyle w:val="ListBullet"/>
      </w:pPr>
      <w:r>
        <w:rPr>
          <w:rFonts w:ascii="Segoe UI" w:hAnsi="Segoe UI"/>
          <w:b/>
          <w:color w:val="0B5E7B"/>
          <w:sz w:val="21"/>
        </w:rPr>
        <w:t xml:space="preserve">Numéricas. </w:t>
      </w:r>
      <w:r>
        <w:rPr>
          <w:rFonts w:ascii="Segoe UI" w:hAnsi="Segoe UI"/>
          <w:color w:val="424242"/>
          <w:sz w:val="21"/>
        </w:rPr>
        <w:t>Número de documento, teléfonos, montos, %: tipo Texto con Restricciones → Número.</w:t>
      </w:r>
    </w:p>
    <w:p>
      <w:pPr>
        <w:pStyle w:val="ListBullet"/>
      </w:pPr>
      <w:r>
        <w:rPr>
          <w:rFonts w:ascii="Segoe UI" w:hAnsi="Segoe UI"/>
          <w:b/>
          <w:color w:val="0B5E7B"/>
          <w:sz w:val="21"/>
        </w:rPr>
        <w:t xml:space="preserve">Email. </w:t>
      </w:r>
      <w:r>
        <w:rPr>
          <w:rFonts w:ascii="Segoe UI" w:hAnsi="Segoe UI"/>
          <w:color w:val="424242"/>
          <w:sz w:val="21"/>
        </w:rPr>
        <w:t>Correo electrónico: Texto con Restricciones → debe ser una dirección de correo.</w:t>
      </w:r>
    </w:p>
    <w:p>
      <w:pPr>
        <w:pStyle w:val="ListBullet"/>
      </w:pPr>
      <w:r>
        <w:rPr>
          <w:rFonts w:ascii="Segoe UI" w:hAnsi="Segoe UI"/>
          <w:b/>
          <w:color w:val="0B5E7B"/>
          <w:sz w:val="21"/>
        </w:rPr>
        <w:t xml:space="preserve">Desplegables. </w:t>
      </w:r>
      <w:r>
        <w:rPr>
          <w:rFonts w:ascii="Segoe UI" w:hAnsi="Segoe UI"/>
          <w:color w:val="424242"/>
          <w:sz w:val="21"/>
        </w:rPr>
        <w:t>Activa el formato 'Lista desplegable' (Más opciones ⋯ → Lista desplegable) en las preguntas de Opción largas (documento, banco, moneda, tipo de sociedad).</w:t>
      </w:r>
    </w:p>
    <w:p>
      <w:pPr>
        <w:spacing w:before="200" w:after="80"/>
      </w:pPr>
      <w:r>
        <w:rPr>
          <w:rFonts w:ascii="Segoe UI" w:hAnsi="Segoe UI"/>
          <w:b/>
          <w:color w:val="0C6B8C"/>
          <w:sz w:val="32"/>
        </w:rPr>
        <w:t>4. Catálogos: cuáles van como desplegable y cuáles como texto</w:t>
      </w:r>
    </w:p>
    <w:p>
      <w:pPr>
        <w:spacing w:after="60"/>
      </w:pPr>
      <w:r>
        <w:rPr>
          <w:rFonts w:ascii="Segoe UI" w:hAnsi="Segoe UI"/>
          <w:b w:val="0"/>
          <w:i w:val="0"/>
          <w:color w:val="424242"/>
          <w:sz w:val="21"/>
        </w:rPr>
        <w:t>Decisión adoptada — texto libre para los enormes, desplegable para los cortos:</w:t>
      </w:r>
    </w:p>
    <w:p>
      <w:pPr>
        <w:pStyle w:val="ListBullet"/>
      </w:pPr>
      <w:r>
        <w:rPr>
          <w:rFonts w:ascii="Segoe UI" w:hAnsi="Segoe UI"/>
          <w:b/>
          <w:color w:val="0B5E7B"/>
          <w:sz w:val="21"/>
        </w:rPr>
        <w:t xml:space="preserve">Texto. </w:t>
      </w:r>
      <w:r>
        <w:rPr>
          <w:rFonts w:ascii="Segoe UI" w:hAnsi="Segoe UI"/>
          <w:color w:val="424242"/>
          <w:sz w:val="21"/>
        </w:rPr>
        <w:t>País (247), Departamento, Ciudad (1174) y CIIU (504): quedan como TEXTO. Son demasiado largos para un desplegable usable y Forms no tiene buscador.</w:t>
      </w:r>
    </w:p>
    <w:p>
      <w:pPr>
        <w:pStyle w:val="ListBullet"/>
      </w:pPr>
      <w:r>
        <w:rPr>
          <w:rFonts w:ascii="Segoe UI" w:hAnsi="Segoe UI"/>
          <w:b/>
          <w:color w:val="0B5E7B"/>
          <w:sz w:val="21"/>
        </w:rPr>
        <w:t xml:space="preserve">Opcional. </w:t>
      </w:r>
      <w:r>
        <w:rPr>
          <w:rFonts w:ascii="Segoe UI" w:hAnsi="Segoe UI"/>
          <w:color w:val="424242"/>
          <w:sz w:val="21"/>
        </w:rPr>
        <w:t>País de domicilio / Nacionalidad / País de operación: puedes convertirlos a Lista desplegable pegando el catálogo de 247 países (archivo catalogo_paises.txt) si prefieres consistencia sobre rapidez.</w:t>
      </w:r>
    </w:p>
    <w:p>
      <w:pPr>
        <w:pStyle w:val="ListBullet"/>
      </w:pPr>
      <w:r>
        <w:rPr>
          <w:rFonts w:ascii="Segoe UI" w:hAnsi="Segoe UI"/>
          <w:b/>
          <w:color w:val="0B5E7B"/>
          <w:sz w:val="21"/>
        </w:rPr>
        <w:t xml:space="preserve">Desplegable. </w:t>
      </w:r>
      <w:r>
        <w:rPr>
          <w:rFonts w:ascii="Segoe UI" w:hAnsi="Segoe UI"/>
          <w:color w:val="424242"/>
          <w:sz w:val="21"/>
        </w:rPr>
        <w:t>Entidad bancaria (30 + Otro), Moneda (58), Tipo de sociedad (15), Tipo de documento (8 + Otro), Tipo de cuenta (3): van como Lista desplegable. Ya vienen embebidos como opciones en el .docx importado.</w:t>
      </w:r>
    </w:p>
    <w:p>
      <w:pPr>
        <w:spacing w:after="160"/>
      </w:pPr>
      <w:r>
        <w:rPr>
          <w:rFonts w:ascii="Segoe UI" w:hAnsi="Segoe UI"/>
          <w:b w:val="0"/>
          <w:i w:val="0"/>
          <w:color w:val="424242"/>
          <w:sz w:val="21"/>
        </w:rPr>
        <w:t>Para convertir un campo de texto a desplegable: cambia la pregunta a 'Opción', activa 'Lista desplegable' y pega el catálogo (Forms acepta pegar varias líneas y crea una opción por línea). Los catálogos pegables se entregan como archivos .txt junto a esta guía: catalogo_paises.txt, catalogo_bancos.txt, catalogo_monedas.txt, catalogo_tipos_sociedad.txt, catalogo_departamentos_CO.txt, catalogo_ciiu.txt.</w:t>
      </w:r>
    </w:p>
    <w:p>
      <w:pPr>
        <w:spacing w:before="200" w:after="80"/>
      </w:pPr>
      <w:r>
        <w:rPr>
          <w:rFonts w:ascii="Segoe UI" w:hAnsi="Segoe UI"/>
          <w:b/>
          <w:color w:val="0C6B8C"/>
          <w:sz w:val="32"/>
        </w:rPr>
        <w:t>5. Ramificación (mostrar / ocultar)</w:t>
      </w:r>
    </w:p>
    <w:p>
      <w:pPr>
        <w:spacing w:after="80"/>
      </w:pPr>
      <w:r>
        <w:rPr>
          <w:rFonts w:ascii="Segoe UI" w:hAnsi="Segoe UI"/>
          <w:b w:val="0"/>
          <w:i w:val="0"/>
          <w:color w:val="424242"/>
          <w:sz w:val="21"/>
        </w:rPr>
        <w:t>Forms ramifica solo sobre preguntas de Opción y a nivel de salto de sección. La estrategia fiel es: poner cada pregunta condicional al inicio de su propia sección y, desde la pregunta 'disparadora', enviar a la sección correspondiente (Más opciones de pregunta ⋯ → Agregar ramificación). Reglas a configurar:</w:t>
      </w:r>
    </w:p>
    <w:p>
      <w:pPr>
        <w:spacing w:before="120" w:after="40"/>
      </w:pPr>
      <w:r>
        <w:rPr>
          <w:rFonts w:ascii="Segoe UI" w:hAnsi="Segoe UI"/>
          <w:b/>
          <w:color w:val="0B5E7B"/>
          <w:sz w:val="23"/>
        </w:rPr>
        <w:t>1 — Información básica</w:t>
      </w:r>
    </w:p>
    <w:p>
      <w:pPr>
        <w:pStyle w:val="ListBullet"/>
      </w:pPr>
      <w:r>
        <w:rPr>
          <w:rFonts w:ascii="Segoe UI" w:hAnsi="Segoe UI"/>
          <w:color w:val="424242"/>
          <w:sz w:val="21"/>
        </w:rPr>
        <w:t>Tipo de vinculación = Otro → muestra 'Especifique el tipo de vinculación'.</w:t>
      </w:r>
    </w:p>
    <w:p>
      <w:pPr>
        <w:pStyle w:val="ListBullet"/>
      </w:pPr>
      <w:r>
        <w:rPr>
          <w:rFonts w:ascii="Segoe UI" w:hAnsi="Segoe UI"/>
          <w:color w:val="424242"/>
          <w:sz w:val="21"/>
        </w:rPr>
        <w:t>Tipo de documento = Otro → casilla de texto para especificar (activar opción 'Otro').</w:t>
      </w:r>
    </w:p>
    <w:p>
      <w:pPr>
        <w:pStyle w:val="ListBullet"/>
      </w:pPr>
      <w:r>
        <w:rPr>
          <w:rFonts w:ascii="Segoe UI" w:hAnsi="Segoe UI"/>
          <w:color w:val="424242"/>
          <w:sz w:val="21"/>
        </w:rPr>
        <w:t>Actividad CIIU = 'Otros…' → describa la actividad.</w:t>
      </w:r>
    </w:p>
    <w:p>
      <w:pPr>
        <w:pStyle w:val="ListBullet"/>
      </w:pPr>
      <w:r>
        <w:rPr>
          <w:rFonts w:ascii="Segoe UI" w:hAnsi="Segoe UI"/>
          <w:color w:val="424242"/>
          <w:sz w:val="21"/>
        </w:rPr>
        <w:t>Nacionalidad = 'Otro' → especifique la nacionalidad.</w:t>
      </w:r>
    </w:p>
    <w:p>
      <w:pPr>
        <w:pStyle w:val="ListBullet"/>
      </w:pPr>
      <w:r>
        <w:rPr>
          <w:rFonts w:ascii="Segoe UI" w:hAnsi="Segoe UI"/>
          <w:color w:val="424242"/>
          <w:sz w:val="21"/>
        </w:rPr>
        <w:t>Su empresa cotiza en bolsa = Sí → muestra 'En cuál bolsa cotiza'.</w:t>
      </w:r>
    </w:p>
    <w:p>
      <w:pPr>
        <w:spacing w:before="120" w:after="40"/>
      </w:pPr>
      <w:r>
        <w:rPr>
          <w:rFonts w:ascii="Segoe UI" w:hAnsi="Segoe UI"/>
          <w:b/>
          <w:color w:val="0B5E7B"/>
          <w:sz w:val="23"/>
        </w:rPr>
        <w:t>2 — Representante legal</w:t>
      </w:r>
    </w:p>
    <w:p>
      <w:pPr>
        <w:pStyle w:val="ListBullet"/>
      </w:pPr>
      <w:r>
        <w:rPr>
          <w:rFonts w:ascii="Segoe UI" w:hAnsi="Segoe UI"/>
          <w:color w:val="424242"/>
          <w:sz w:val="21"/>
        </w:rPr>
        <w:t>Tipo de documento = Otro → especifique.</w:t>
      </w:r>
    </w:p>
    <w:p>
      <w:pPr>
        <w:spacing w:before="120" w:after="40"/>
      </w:pPr>
      <w:r>
        <w:rPr>
          <w:rFonts w:ascii="Segoe UI" w:hAnsi="Segoe UI"/>
          <w:b/>
          <w:color w:val="0B5E7B"/>
          <w:sz w:val="23"/>
        </w:rPr>
        <w:t>3 — Sociedad</w:t>
      </w:r>
    </w:p>
    <w:p>
      <w:pPr>
        <w:pStyle w:val="ListBullet"/>
      </w:pPr>
      <w:r>
        <w:rPr>
          <w:rFonts w:ascii="Segoe UI" w:hAnsi="Segoe UI"/>
          <w:color w:val="424242"/>
          <w:sz w:val="21"/>
        </w:rPr>
        <w:t>Ubicación = Extranjera → muestra 'País'.</w:t>
      </w:r>
    </w:p>
    <w:p>
      <w:pPr>
        <w:pStyle w:val="ListBullet"/>
      </w:pPr>
      <w:r>
        <w:rPr>
          <w:rFonts w:ascii="Segoe UI" w:hAnsi="Segoe UI"/>
          <w:color w:val="424242"/>
          <w:sz w:val="21"/>
        </w:rPr>
        <w:t>Ubicación = Sucursal en Colombia → muestra 'País de origen'.</w:t>
      </w:r>
    </w:p>
    <w:p>
      <w:pPr>
        <w:pStyle w:val="ListBullet"/>
      </w:pPr>
      <w:r>
        <w:rPr>
          <w:rFonts w:ascii="Segoe UI" w:hAnsi="Segoe UI"/>
          <w:color w:val="424242"/>
          <w:sz w:val="21"/>
        </w:rPr>
        <w:t>Pertenece a grupo empresarial = Sí → muestra la pregunta de declaración en el Certificado.</w:t>
      </w:r>
    </w:p>
    <w:p>
      <w:pPr>
        <w:pStyle w:val="ListBullet"/>
      </w:pPr>
      <w:r>
        <w:rPr>
          <w:rFonts w:ascii="Segoe UI" w:hAnsi="Segoe UI"/>
          <w:color w:val="424242"/>
          <w:sz w:val="21"/>
        </w:rPr>
        <w:t>Declaración en Certificado = No → muestra 'Calidad de la sociedad…' y 'Describa la estructura…'.</w:t>
      </w:r>
    </w:p>
    <w:p>
      <w:pPr>
        <w:spacing w:before="120" w:after="40"/>
      </w:pPr>
      <w:r>
        <w:rPr>
          <w:rFonts w:ascii="Segoe UI" w:hAnsi="Segoe UI"/>
          <w:b/>
          <w:color w:val="0B5E7B"/>
          <w:sz w:val="23"/>
        </w:rPr>
        <w:t>5 — Sistema de cumplimiento</w:t>
      </w:r>
    </w:p>
    <w:p>
      <w:pPr>
        <w:pStyle w:val="ListBullet"/>
      </w:pPr>
      <w:r>
        <w:rPr>
          <w:rFonts w:ascii="Segoe UI" w:hAnsi="Segoe UI"/>
          <w:color w:val="424242"/>
          <w:sz w:val="21"/>
        </w:rPr>
        <w:t>Sujeta a normatividad = Sí → muestra 'Cuáles son estas regulaciones', 'Referencia específica' y 'Tiene sistema implementado'.</w:t>
      </w:r>
    </w:p>
    <w:p>
      <w:pPr>
        <w:pStyle w:val="ListBullet"/>
      </w:pPr>
      <w:r>
        <w:rPr>
          <w:rFonts w:ascii="Segoe UI" w:hAnsi="Segoe UI"/>
          <w:color w:val="424242"/>
          <w:sz w:val="21"/>
        </w:rPr>
        <w:t>Tiene sistema = Sí → muestra 'Tipo de sistema implementado' (y sección 5b Oficiales).</w:t>
      </w:r>
    </w:p>
    <w:p>
      <w:pPr>
        <w:pStyle w:val="ListBullet"/>
      </w:pPr>
      <w:r>
        <w:rPr>
          <w:rFonts w:ascii="Segoe UI" w:hAnsi="Segoe UI"/>
          <w:color w:val="424242"/>
          <w:sz w:val="21"/>
        </w:rPr>
        <w:t>Tipo de sistema = Otro → especifique.</w:t>
      </w:r>
    </w:p>
    <w:p>
      <w:pPr>
        <w:spacing w:before="120" w:after="40"/>
      </w:pPr>
      <w:r>
        <w:rPr>
          <w:rFonts w:ascii="Segoe UI" w:hAnsi="Segoe UI"/>
          <w:b/>
          <w:color w:val="0B5E7B"/>
          <w:sz w:val="23"/>
        </w:rPr>
        <w:t>7b — Revisores fiscales</w:t>
      </w:r>
    </w:p>
    <w:p>
      <w:pPr>
        <w:pStyle w:val="ListBullet"/>
      </w:pPr>
      <w:r>
        <w:rPr>
          <w:rFonts w:ascii="Segoe UI" w:hAnsi="Segoe UI"/>
          <w:color w:val="424242"/>
          <w:sz w:val="21"/>
        </w:rPr>
        <w:t>La empresa tiene revisor = Sí → muestra la sección de detalle.</w:t>
      </w:r>
    </w:p>
    <w:p>
      <w:pPr>
        <w:pStyle w:val="ListBullet"/>
      </w:pPr>
      <w:r>
        <w:rPr>
          <w:rFonts w:ascii="Segoe UI" w:hAnsi="Segoe UI"/>
          <w:color w:val="424242"/>
          <w:sz w:val="21"/>
        </w:rPr>
        <w:t>Designado por firma auditora = Sí → muestra razón social, tipo y número de documento de la firma.</w:t>
      </w:r>
    </w:p>
    <w:p>
      <w:pPr>
        <w:spacing w:before="120" w:after="40"/>
      </w:pPr>
      <w:r>
        <w:rPr>
          <w:rFonts w:ascii="Segoe UI" w:hAnsi="Segoe UI"/>
          <w:b/>
          <w:color w:val="0B5E7B"/>
          <w:sz w:val="23"/>
        </w:rPr>
        <w:t>8 — Composición accionaria</w:t>
      </w:r>
    </w:p>
    <w:p>
      <w:pPr>
        <w:pStyle w:val="ListBullet"/>
      </w:pPr>
      <w:r>
        <w:rPr>
          <w:rFonts w:ascii="Segoe UI" w:hAnsi="Segoe UI"/>
          <w:color w:val="424242"/>
          <w:sz w:val="21"/>
        </w:rPr>
        <w:t>Tipo de persona del accionista = Natural → muestra Nombres, Apellidos, Fecha de expedición.</w:t>
      </w:r>
    </w:p>
    <w:p>
      <w:pPr>
        <w:pStyle w:val="ListBullet"/>
      </w:pPr>
      <w:r>
        <w:rPr>
          <w:rFonts w:ascii="Segoe UI" w:hAnsi="Segoe UI"/>
          <w:color w:val="424242"/>
          <w:sz w:val="21"/>
        </w:rPr>
        <w:t>Tipo de persona = Jurídica → muestra Razón social.</w:t>
      </w:r>
    </w:p>
    <w:p>
      <w:pPr>
        <w:pStyle w:val="ListBullet"/>
      </w:pPr>
      <w:r>
        <w:rPr>
          <w:rFonts w:ascii="Segoe UI" w:hAnsi="Segoe UI"/>
          <w:color w:val="424242"/>
          <w:sz w:val="21"/>
        </w:rPr>
        <w:t>Tipo de documento = Otro → especifique.</w:t>
      </w:r>
    </w:p>
    <w:p>
      <w:pPr>
        <w:spacing w:before="120" w:after="40"/>
      </w:pPr>
      <w:r>
        <w:rPr>
          <w:rFonts w:ascii="Segoe UI" w:hAnsi="Segoe UI"/>
          <w:b/>
          <w:color w:val="0B5E7B"/>
          <w:sz w:val="23"/>
        </w:rPr>
        <w:t>9N — Participación en sociedades (Natural)</w:t>
      </w:r>
    </w:p>
    <w:p>
      <w:pPr>
        <w:pStyle w:val="ListBullet"/>
      </w:pPr>
      <w:r>
        <w:rPr>
          <w:rFonts w:ascii="Segoe UI" w:hAnsi="Segoe UI"/>
          <w:color w:val="424242"/>
          <w:sz w:val="21"/>
        </w:rPr>
        <w:t>Tiene participación = Sí → muestra Razón social, Tipo y Número de documento.</w:t>
      </w:r>
    </w:p>
    <w:p>
      <w:pPr>
        <w:spacing w:before="120" w:after="40"/>
      </w:pPr>
      <w:r>
        <w:rPr>
          <w:rFonts w:ascii="Segoe UI" w:hAnsi="Segoe UI"/>
          <w:b/>
          <w:color w:val="0B5E7B"/>
          <w:sz w:val="23"/>
        </w:rPr>
        <w:t>11 — Información bancaria</w:t>
      </w:r>
    </w:p>
    <w:p>
      <w:pPr>
        <w:pStyle w:val="ListBullet"/>
      </w:pPr>
      <w:r>
        <w:rPr>
          <w:rFonts w:ascii="Segoe UI" w:hAnsi="Segoe UI"/>
          <w:color w:val="424242"/>
          <w:sz w:val="21"/>
        </w:rPr>
        <w:t>Entidad bancaria = Otro → especifique la entidad.</w:t>
      </w:r>
    </w:p>
    <w:p>
      <w:pPr>
        <w:pStyle w:val="ListBullet"/>
      </w:pPr>
      <w:r>
        <w:rPr>
          <w:rFonts w:ascii="Segoe UI" w:hAnsi="Segoe UI"/>
          <w:color w:val="424242"/>
          <w:sz w:val="21"/>
        </w:rPr>
        <w:t>Tipo de cuenta = Otro → especifique.</w:t>
      </w:r>
    </w:p>
    <w:p>
      <w:pPr>
        <w:pStyle w:val="ListBullet"/>
      </w:pPr>
      <w:r>
        <w:rPr>
          <w:rFonts w:ascii="Segoe UI" w:hAnsi="Segoe UI"/>
          <w:color w:val="424242"/>
          <w:sz w:val="21"/>
        </w:rPr>
        <w:t>Posee cuentas en el extranjero = Sí → muestra país, entidad y tipo de cuenta extranjera.</w:t>
      </w:r>
    </w:p>
    <w:p>
      <w:pPr>
        <w:spacing w:before="120" w:after="40"/>
      </w:pPr>
      <w:r>
        <w:rPr>
          <w:rFonts w:ascii="Segoe UI" w:hAnsi="Segoe UI"/>
          <w:b/>
          <w:color w:val="0B5E7B"/>
          <w:sz w:val="23"/>
        </w:rPr>
        <w:t>13 — Activos virtuales</w:t>
      </w:r>
    </w:p>
    <w:p>
      <w:pPr>
        <w:pStyle w:val="ListBullet"/>
      </w:pPr>
      <w:r>
        <w:rPr>
          <w:rFonts w:ascii="Segoe UI" w:hAnsi="Segoe UI"/>
          <w:color w:val="424242"/>
          <w:sz w:val="21"/>
        </w:rPr>
        <w:t>Realiza operaciones = Sí → muestra 'Actividades con activos virtuales'.</w:t>
      </w:r>
    </w:p>
    <w:p>
      <w:pPr>
        <w:spacing w:before="200" w:after="80"/>
      </w:pPr>
      <w:r>
        <w:rPr>
          <w:rFonts w:ascii="Segoe UI" w:hAnsi="Segoe UI"/>
          <w:b/>
          <w:color w:val="0C6B8C"/>
          <w:sz w:val="32"/>
        </w:rPr>
        <w:t>6. Cómo simular las funciones avanzadas del original</w:t>
      </w:r>
    </w:p>
    <w:p>
      <w:pPr>
        <w:spacing w:before="120" w:after="40"/>
      </w:pPr>
      <w:r>
        <w:rPr>
          <w:rFonts w:ascii="Segoe UI" w:hAnsi="Segoe UI"/>
          <w:b/>
          <w:color w:val="0B5E7B"/>
          <w:sz w:val="23"/>
        </w:rPr>
        <w:t>Acordeones / secciones colapsables</w:t>
      </w:r>
    </w:p>
    <w:p>
      <w:pPr>
        <w:spacing w:after="40"/>
      </w:pPr>
      <w:r>
        <w:rPr>
          <w:rFonts w:ascii="Segoe UI" w:hAnsi="Segoe UI"/>
          <w:b w:val="0"/>
          <w:i w:val="0"/>
          <w:color w:val="424242"/>
          <w:sz w:val="21"/>
        </w:rPr>
        <w:t>El original agrupa el formulario en acordeones. En Forms, cada acordeón se convierte en una Sección con su título y un breve texto introductorio. El efecto 'colapsar/expandir' se logra porque Forms muestra una sección por página: el usuario avanza con 'Siguiente'. Usa títulos claros y numerados (0…14) para reproducir el orden.</w:t>
      </w:r>
    </w:p>
    <w:p>
      <w:pPr>
        <w:spacing w:before="120" w:after="40"/>
      </w:pPr>
      <w:r>
        <w:rPr>
          <w:rFonts w:ascii="Segoe UI" w:hAnsi="Segoe UI"/>
          <w:b/>
          <w:color w:val="0B5E7B"/>
          <w:sz w:val="23"/>
        </w:rPr>
        <w:t>'Otro' que abre respuesta abierta</w:t>
      </w:r>
    </w:p>
    <w:p>
      <w:pPr>
        <w:spacing w:after="40"/>
      </w:pPr>
      <w:r>
        <w:rPr>
          <w:rFonts w:ascii="Segoe UI" w:hAnsi="Segoe UI"/>
          <w:b w:val="0"/>
          <w:i w:val="0"/>
          <w:color w:val="424242"/>
          <w:sz w:val="21"/>
        </w:rPr>
        <w:t>Es la única función avanzada que Forms hace de forma nativa: en cualquier pregunta de Opción, activa 'Agregar opción "Otro"'. Forms añade automáticamente un campo de texto cuando el usuario la elige. Úsalo en Tipo de vinculación, Tipo de documento, Banco, Tipo de cuenta, Tipo de sistema, etc.</w:t>
      </w:r>
    </w:p>
    <w:p>
      <w:pPr>
        <w:spacing w:before="120" w:after="40"/>
      </w:pPr>
      <w:r>
        <w:rPr>
          <w:rFonts w:ascii="Segoe UI" w:hAnsi="Segoe UI"/>
          <w:b/>
          <w:color w:val="0B5E7B"/>
          <w:sz w:val="23"/>
        </w:rPr>
        <w:t>Dropdown con lista de búsqueda</w:t>
      </w:r>
    </w:p>
    <w:p>
      <w:pPr>
        <w:spacing w:after="40"/>
      </w:pPr>
      <w:r>
        <w:rPr>
          <w:rFonts w:ascii="Segoe UI" w:hAnsi="Segoe UI"/>
          <w:b w:val="0"/>
          <w:i w:val="0"/>
          <w:color w:val="424242"/>
          <w:sz w:val="21"/>
        </w:rPr>
        <w:t>No existe en Forms. Para catálogos medianos (bancos, monedas, países) usa Lista desplegable simple. Para los enormes (ciudades, CIIU) deja Texto y guía con el subtítulo (p. ej. 'Escribe el código CIIU de 4 dígitos'). La validación fina se hace después contra la base de datos.</w:t>
      </w:r>
    </w:p>
    <w:p>
      <w:pPr>
        <w:spacing w:before="120" w:after="40"/>
      </w:pPr>
      <w:r>
        <w:rPr>
          <w:rFonts w:ascii="Segoe UI" w:hAnsi="Segoe UI"/>
          <w:b/>
          <w:color w:val="0B5E7B"/>
          <w:sz w:val="23"/>
        </w:rPr>
        <w:t>Cascada País → Departamento → Ciudad</w:t>
      </w:r>
    </w:p>
    <w:p>
      <w:pPr>
        <w:spacing w:after="40"/>
      </w:pPr>
      <w:r>
        <w:rPr>
          <w:rFonts w:ascii="Segoe UI" w:hAnsi="Segoe UI"/>
          <w:b w:val="0"/>
          <w:i w:val="0"/>
          <w:color w:val="424242"/>
          <w:sz w:val="21"/>
        </w:rPr>
        <w:t>Forms no encadena listas. Se capturan como tres preguntas independientes (País desplegable; Departamento y Ciudad como texto). Indica en el subtítulo que deben ser coherentes. La normalización se resuelve al cargar los datos en la BD.</w:t>
      </w:r>
    </w:p>
    <w:p>
      <w:pPr>
        <w:spacing w:before="120" w:after="40"/>
      </w:pPr>
      <w:r>
        <w:rPr>
          <w:rFonts w:ascii="Segoe UI" w:hAnsi="Segoe UI"/>
          <w:b/>
          <w:color w:val="0B5E7B"/>
          <w:sz w:val="23"/>
        </w:rPr>
        <w:t>Grupos repetibles (representantes, accionistas, cuentas…)</w:t>
      </w:r>
    </w:p>
    <w:p>
      <w:pPr>
        <w:spacing w:after="40"/>
      </w:pPr>
      <w:r>
        <w:rPr>
          <w:rFonts w:ascii="Segoe UI" w:hAnsi="Segoe UI"/>
          <w:b w:val="0"/>
          <w:i w:val="0"/>
          <w:color w:val="424242"/>
          <w:sz w:val="21"/>
        </w:rPr>
        <w:t>Forms no repite grupos. Los .docx ya incluyen varios bloques numerados fijos (RL ×2, Países ×5, Oficiales ×2, Junta ×3, Revisores ×2, Accionistas ×4, Beneficiarios ×4, Cuentas ×2). Para permitir más, duplica (botón Copiar) el último bloque y cambia el número. Alternativa: una pregunta '¿Cuántos…?' al inicio y secciones preparadas.</w:t>
      </w:r>
    </w:p>
    <w:p>
      <w:pPr>
        <w:spacing w:before="120" w:after="40"/>
      </w:pPr>
      <w:r>
        <w:rPr>
          <w:rFonts w:ascii="Segoe UI" w:hAnsi="Segoe UI"/>
          <w:b/>
          <w:color w:val="0B5E7B"/>
          <w:sz w:val="23"/>
        </w:rPr>
        <w:t>Auto-cálculo del Patrimonio</w:t>
      </w:r>
    </w:p>
    <w:p>
      <w:pPr>
        <w:spacing w:after="40"/>
      </w:pPr>
      <w:r>
        <w:rPr>
          <w:rFonts w:ascii="Segoe UI" w:hAnsi="Segoe UI"/>
          <w:b w:val="0"/>
          <w:i w:val="0"/>
          <w:color w:val="424242"/>
          <w:sz w:val="21"/>
        </w:rPr>
        <w:t>Forms no calcula. El campo 'Patrimonio' se captura manualmente; en el subtítulo se recuerda 'Patrimonio = Total activos − Total pasivos'. La verificación se hace en el procesamiento posterior.</w:t>
      </w:r>
    </w:p>
    <w:p>
      <w:pPr>
        <w:spacing w:before="120" w:after="40"/>
      </w:pPr>
      <w:r>
        <w:rPr>
          <w:rFonts w:ascii="Segoe UI" w:hAnsi="Segoe UI"/>
          <w:b/>
          <w:color w:val="0B5E7B"/>
          <w:sz w:val="23"/>
        </w:rPr>
        <w:t>Iconos de información (i)</w:t>
      </w:r>
    </w:p>
    <w:p>
      <w:pPr>
        <w:spacing w:after="40"/>
      </w:pPr>
      <w:r>
        <w:rPr>
          <w:rFonts w:ascii="Segoe UI" w:hAnsi="Segoe UI"/>
          <w:b w:val="0"/>
          <w:i w:val="0"/>
          <w:color w:val="424242"/>
          <w:sz w:val="21"/>
        </w:rPr>
        <w:t>Cada pregunta del original con icono (i) lleva su texto al 'Subtítulo' de la pregunta en Forms (Más opciones ⋯ → Agregar subtítulo). Los textos verbatim están en el Anexo A.</w:t>
      </w:r>
    </w:p>
    <w:p>
      <w:pPr>
        <w:spacing w:before="200" w:after="80"/>
      </w:pPr>
      <w:r>
        <w:rPr>
          <w:rFonts w:ascii="Segoe UI" w:hAnsi="Segoe UI"/>
          <w:b/>
          <w:color w:val="0C6B8C"/>
          <w:sz w:val="32"/>
        </w:rPr>
        <w:t>7. Tema de color Collective Mining</w:t>
      </w:r>
    </w:p>
    <w:p>
      <w:pPr>
        <w:spacing w:after="80"/>
      </w:pPr>
      <w:r>
        <w:rPr>
          <w:rFonts w:ascii="Segoe UI" w:hAnsi="Segoe UI"/>
          <w:b w:val="0"/>
          <w:i w:val="0"/>
          <w:color w:val="424242"/>
          <w:sz w:val="21"/>
        </w:rPr>
        <w:t>Los colores no se importan: se aplican como Tema. En el formulario → 'Estilo' (Tema) → '+' tema personalizado. Paleta del proyecto (azul oceánico):</w:t>
      </w:r>
    </w:p>
    <w:tbl>
      <w:tblPr>
        <w:tblStyle w:val="TableGrid"/>
        <w:tblW w:type="auto" w:w="0"/>
        <w:tblLook w:firstColumn="1" w:firstRow="1" w:lastColumn="0" w:lastRow="0" w:noHBand="0" w:noVBand="1" w:val="04A0"/>
      </w:tblPr>
      <w:tblGrid>
        <w:gridCol w:w="4320"/>
        <w:gridCol w:w="4320"/>
      </w:tblGrid>
      <w:tr>
        <w:tc>
          <w:tcPr>
            <w:tcW w:type="dxa" w:w="4320"/>
            <w:shd w:val="clear" w:fill="0C6B8C"/>
          </w:tcPr>
          <w:p>
            <w:r/>
            <w:r>
              <w:rPr>
                <w:b/>
                <w:color w:val="FFFFFF"/>
                <w:sz w:val="20"/>
              </w:rPr>
              <w:t>Uso</w:t>
            </w:r>
          </w:p>
        </w:tc>
        <w:tc>
          <w:tcPr>
            <w:tcW w:type="dxa" w:w="4320"/>
            <w:shd w:val="clear" w:fill="0C6B8C"/>
          </w:tcPr>
          <w:p>
            <w:r/>
            <w:r>
              <w:rPr>
                <w:b/>
                <w:color w:val="FFFFFF"/>
                <w:sz w:val="20"/>
              </w:rPr>
              <w:t>Color</w:t>
            </w:r>
          </w:p>
        </w:tc>
      </w:tr>
      <w:tr>
        <w:tc>
          <w:tcPr>
            <w:tcW w:type="dxa" w:w="4320"/>
          </w:tcPr>
          <w:p>
            <w:r>
              <w:rPr>
                <w:color w:val="424242"/>
                <w:sz w:val="19"/>
              </w:rPr>
              <w:t>Primario — títulos y cabeceras</w:t>
            </w:r>
          </w:p>
        </w:tc>
        <w:tc>
          <w:tcPr>
            <w:tcW w:type="dxa" w:w="4320"/>
            <w:shd w:val="clear" w:fill="0C6B8C"/>
          </w:tcPr>
          <w:p>
            <w:r/>
            <w:r>
              <w:rPr>
                <w:b/>
                <w:color w:val="FFFFFF"/>
                <w:sz w:val="19"/>
              </w:rPr>
              <w:t>#0C6B8C</w:t>
            </w:r>
          </w:p>
        </w:tc>
      </w:tr>
      <w:tr>
        <w:tc>
          <w:tcPr>
            <w:tcW w:type="dxa" w:w="4320"/>
          </w:tcPr>
          <w:p>
            <w:r>
              <w:rPr>
                <w:color w:val="424242"/>
                <w:sz w:val="19"/>
              </w:rPr>
              <w:t>Acento — botones y bordes activos</w:t>
            </w:r>
          </w:p>
        </w:tc>
        <w:tc>
          <w:tcPr>
            <w:tcW w:type="dxa" w:w="4320"/>
            <w:shd w:val="clear" w:fill="20A7C9"/>
          </w:tcPr>
          <w:p>
            <w:r/>
            <w:r>
              <w:rPr>
                <w:b/>
                <w:color w:val="FFFFFF"/>
                <w:sz w:val="19"/>
              </w:rPr>
              <w:t>#20A7C9</w:t>
            </w:r>
          </w:p>
        </w:tc>
      </w:tr>
      <w:tr>
        <w:tc>
          <w:tcPr>
            <w:tcW w:type="dxa" w:w="4320"/>
          </w:tcPr>
          <w:p>
            <w:r>
              <w:rPr>
                <w:color w:val="424242"/>
                <w:sz w:val="19"/>
              </w:rPr>
              <w:t>Acento oscuro — hover</w:t>
            </w:r>
          </w:p>
        </w:tc>
        <w:tc>
          <w:tcPr>
            <w:tcW w:type="dxa" w:w="4320"/>
            <w:shd w:val="clear" w:fill="0B5E7B"/>
          </w:tcPr>
          <w:p>
            <w:r/>
            <w:r>
              <w:rPr>
                <w:b/>
                <w:color w:val="FFFFFF"/>
                <w:sz w:val="19"/>
              </w:rPr>
              <w:t>#0B5E7B</w:t>
            </w:r>
          </w:p>
        </w:tc>
      </w:tr>
      <w:tr>
        <w:tc>
          <w:tcPr>
            <w:tcW w:type="dxa" w:w="4320"/>
          </w:tcPr>
          <w:p>
            <w:r>
              <w:rPr>
                <w:color w:val="424242"/>
                <w:sz w:val="19"/>
              </w:rPr>
              <w:t>Fondo de cabecera (celeste suave)</w:t>
            </w:r>
          </w:p>
        </w:tc>
        <w:tc>
          <w:tcPr>
            <w:tcW w:type="dxa" w:w="4320"/>
            <w:shd w:val="clear" w:fill="E5F5FA"/>
          </w:tcPr>
          <w:p>
            <w:r/>
            <w:r>
              <w:rPr>
                <w:b/>
                <w:color w:val="0C6B8C"/>
                <w:sz w:val="19"/>
              </w:rPr>
              <w:t>#E5F5FA</w:t>
            </w:r>
          </w:p>
        </w:tc>
      </w:tr>
      <w:tr>
        <w:tc>
          <w:tcPr>
            <w:tcW w:type="dxa" w:w="4320"/>
          </w:tcPr>
          <w:p>
            <w:r>
              <w:rPr>
                <w:color w:val="424242"/>
                <w:sz w:val="19"/>
              </w:rPr>
              <w:t>Tinte claro / outlines</w:t>
            </w:r>
          </w:p>
        </w:tc>
        <w:tc>
          <w:tcPr>
            <w:tcW w:type="dxa" w:w="4320"/>
            <w:shd w:val="clear" w:fill="C2E4EF"/>
          </w:tcPr>
          <w:p>
            <w:r/>
            <w:r>
              <w:rPr>
                <w:b/>
                <w:color w:val="0C6B8C"/>
                <w:sz w:val="19"/>
              </w:rPr>
              <w:t>#C2E4EF</w:t>
            </w:r>
          </w:p>
        </w:tc>
      </w:tr>
      <w:tr>
        <w:tc>
          <w:tcPr>
            <w:tcW w:type="dxa" w:w="4320"/>
          </w:tcPr>
          <w:p>
            <w:r>
              <w:rPr>
                <w:color w:val="424242"/>
                <w:sz w:val="19"/>
              </w:rPr>
              <w:t>Texto principal</w:t>
            </w:r>
          </w:p>
        </w:tc>
        <w:tc>
          <w:tcPr>
            <w:tcW w:type="dxa" w:w="4320"/>
            <w:shd w:val="clear" w:fill="212121"/>
          </w:tcPr>
          <w:p>
            <w:r/>
            <w:r>
              <w:rPr>
                <w:b/>
                <w:color w:val="FFFFFF"/>
                <w:sz w:val="19"/>
              </w:rPr>
              <w:t>#212121</w:t>
            </w:r>
          </w:p>
        </w:tc>
      </w:tr>
      <w:tr>
        <w:tc>
          <w:tcPr>
            <w:tcW w:type="dxa" w:w="4320"/>
          </w:tcPr>
          <w:p>
            <w:r>
              <w:rPr>
                <w:color w:val="424242"/>
                <w:sz w:val="19"/>
              </w:rPr>
              <w:t>Error / requerido</w:t>
            </w:r>
          </w:p>
        </w:tc>
        <w:tc>
          <w:tcPr>
            <w:tcW w:type="dxa" w:w="4320"/>
            <w:shd w:val="clear" w:fill="C62828"/>
          </w:tcPr>
          <w:p>
            <w:r/>
            <w:r>
              <w:rPr>
                <w:b/>
                <w:color w:val="FFFFFF"/>
                <w:sz w:val="19"/>
              </w:rPr>
              <w:t>#C62828</w:t>
            </w:r>
          </w:p>
        </w:tc>
      </w:tr>
    </w:tbl>
    <w:p>
      <w:pPr>
        <w:spacing w:after="40"/>
      </w:pPr>
      <w:r>
        <w:rPr>
          <w:rFonts w:ascii="Segoe UI" w:hAnsi="Segoe UI"/>
          <w:b w:val="0"/>
          <w:i w:val="0"/>
          <w:color w:val="424242"/>
          <w:sz w:val="21"/>
        </w:rPr>
      </w:r>
    </w:p>
    <w:p>
      <w:pPr>
        <w:pStyle w:val="ListBullet"/>
      </w:pPr>
      <w:r>
        <w:rPr>
          <w:rFonts w:ascii="Segoe UI" w:hAnsi="Segoe UI"/>
          <w:b/>
          <w:color w:val="0B5E7B"/>
          <w:sz w:val="21"/>
        </w:rPr>
        <w:t xml:space="preserve">Color. </w:t>
      </w:r>
      <w:r>
        <w:rPr>
          <w:rFonts w:ascii="Segoe UI" w:hAnsi="Segoe UI"/>
          <w:color w:val="424242"/>
          <w:sz w:val="21"/>
        </w:rPr>
        <w:t>Tema personalizado: como color principal usa #0C6B8C (o el acento #20A7C9 para un look más vivo). Forms aplica ese color a botones, barra de progreso y acentos.</w:t>
      </w:r>
    </w:p>
    <w:p>
      <w:pPr>
        <w:pStyle w:val="ListBullet"/>
      </w:pPr>
      <w:r>
        <w:rPr>
          <w:rFonts w:ascii="Segoe UI" w:hAnsi="Segoe UI"/>
          <w:b/>
          <w:color w:val="0B5E7B"/>
          <w:sz w:val="21"/>
        </w:rPr>
        <w:t xml:space="preserve">Encabezado. </w:t>
      </w:r>
      <w:r>
        <w:rPr>
          <w:rFonts w:ascii="Segoe UI" w:hAnsi="Segoe UI"/>
          <w:color w:val="424242"/>
          <w:sz w:val="21"/>
        </w:rPr>
        <w:t>Imagen de encabezado: sube el logo de Collective Mining sobre fondo #E5F5FA o #0C6B8C. Recomendado 1500×625 px. Usa la misma imagen en ambos formularios para consistencia.</w:t>
      </w:r>
    </w:p>
    <w:p>
      <w:pPr>
        <w:pStyle w:val="ListBullet"/>
      </w:pPr>
      <w:r>
        <w:rPr>
          <w:rFonts w:ascii="Segoe UI" w:hAnsi="Segoe UI"/>
          <w:b/>
          <w:color w:val="0B5E7B"/>
          <w:sz w:val="21"/>
        </w:rPr>
        <w:t xml:space="preserve">Fuente. </w:t>
      </w:r>
      <w:r>
        <w:rPr>
          <w:rFonts w:ascii="Segoe UI" w:hAnsi="Segoe UI"/>
          <w:color w:val="424242"/>
          <w:sz w:val="21"/>
        </w:rPr>
        <w:t>Fuente: Forms usa su propia tipografía; el original usa Segoe UI, que es la fuente por defecto de Microsoft 365, así que el resultado queda muy cercano.</w:t>
      </w:r>
    </w:p>
    <w:p>
      <w:pPr>
        <w:pStyle w:val="ListBullet"/>
      </w:pPr>
      <w:r>
        <w:rPr>
          <w:rFonts w:ascii="Segoe UI" w:hAnsi="Segoe UI"/>
          <w:b/>
          <w:color w:val="0B5E7B"/>
          <w:sz w:val="21"/>
        </w:rPr>
        <w:t xml:space="preserve">Consistencia. </w:t>
      </w:r>
      <w:r>
        <w:rPr>
          <w:rFonts w:ascii="Segoe UI" w:hAnsi="Segoe UI"/>
          <w:color w:val="424242"/>
          <w:sz w:val="21"/>
        </w:rPr>
        <w:t>Aplica el MISMO tema a los dos formularios (Natural y Jurídica) para que se perciban como un solo sistema.</w:t>
      </w:r>
    </w:p>
    <w:p>
      <w:r>
        <w:br w:type="page"/>
      </w:r>
    </w:p>
    <w:p>
      <w:pPr>
        <w:spacing w:before="200" w:after="80"/>
      </w:pPr>
      <w:r>
        <w:rPr>
          <w:rFonts w:ascii="Segoe UI" w:hAnsi="Segoe UI"/>
          <w:b/>
          <w:color w:val="0C6B8C"/>
          <w:sz w:val="30"/>
        </w:rPr>
        <w:t>Anexo A — Textos de ayuda (icono i) para subtítulos</w:t>
      </w:r>
    </w:p>
    <w:p>
      <w:pPr>
        <w:spacing w:after="80"/>
      </w:pPr>
      <w:r>
        <w:rPr>
          <w:rFonts w:ascii="Segoe UI" w:hAnsi="Segoe UI"/>
          <w:b w:val="0"/>
          <w:i/>
          <w:color w:val="424242"/>
          <w:sz w:val="21"/>
        </w:rPr>
        <w:t>Pega cada texto en el 'Subtítulo' de la pregunta correspondiente.</w:t>
      </w:r>
    </w:p>
    <w:tbl>
      <w:tblPr>
        <w:tblStyle w:val="TableGrid"/>
        <w:tblW w:type="auto" w:w="0"/>
        <w:tblLook w:firstColumn="1" w:firstRow="1" w:lastColumn="0" w:lastRow="0" w:noHBand="0" w:noVBand="1" w:val="04A0"/>
      </w:tblPr>
      <w:tblGrid>
        <w:gridCol w:w="4320"/>
        <w:gridCol w:w="4320"/>
      </w:tblGrid>
      <w:tr>
        <w:tc>
          <w:tcPr>
            <w:tcW w:type="dxa" w:w="4320"/>
            <w:shd w:val="clear" w:fill="0C6B8C"/>
          </w:tcPr>
          <w:p>
            <w:r/>
            <w:r>
              <w:rPr>
                <w:b/>
                <w:color w:val="FFFFFF"/>
                <w:sz w:val="19"/>
              </w:rPr>
              <w:t>Pregunta</w:t>
            </w:r>
          </w:p>
        </w:tc>
        <w:tc>
          <w:tcPr>
            <w:tcW w:type="dxa" w:w="4320"/>
            <w:shd w:val="clear" w:fill="0C6B8C"/>
          </w:tcPr>
          <w:p>
            <w:r/>
            <w:r>
              <w:rPr>
                <w:b/>
                <w:color w:val="FFFFFF"/>
                <w:sz w:val="19"/>
              </w:rPr>
              <w:t>Subtítulo (texto i)</w:t>
            </w:r>
          </w:p>
        </w:tc>
      </w:tr>
      <w:tr>
        <w:tc>
          <w:tcPr>
            <w:tcW w:type="dxa" w:w="4320"/>
          </w:tcPr>
          <w:p>
            <w:r>
              <w:rPr>
                <w:b/>
                <w:color w:val="0B5E7B"/>
                <w:sz w:val="18"/>
              </w:rPr>
              <w:t>Política de tratamiento de datos</w:t>
            </w:r>
          </w:p>
        </w:tc>
        <w:tc>
          <w:tcPr>
            <w:tcW w:type="dxa" w:w="4320"/>
          </w:tcPr>
          <w:p>
            <w:r>
              <w:rPr>
                <w:color w:val="424242"/>
                <w:sz w:val="18"/>
              </w:rPr>
              <w:t>Ley 1581 de 2012 y Decreto 1074 de 2015. Sin aceptar no se accede al formulario.</w:t>
            </w:r>
          </w:p>
        </w:tc>
      </w:tr>
      <w:tr>
        <w:tc>
          <w:tcPr>
            <w:tcW w:type="dxa" w:w="4320"/>
          </w:tcPr>
          <w:p>
            <w:r>
              <w:rPr>
                <w:b/>
                <w:color w:val="0B5E7B"/>
                <w:sz w:val="18"/>
              </w:rPr>
              <w:t>Dígito de verificación del NIT</w:t>
            </w:r>
          </w:p>
        </w:tc>
        <w:tc>
          <w:tcPr>
            <w:tcW w:type="dxa" w:w="4320"/>
          </w:tcPr>
          <w:p>
            <w:r>
              <w:rPr>
                <w:color w:val="424242"/>
                <w:sz w:val="18"/>
              </w:rPr>
              <w:t>Número después del guion en el NIT. Ej.: en 900.123.456-7 el dígito es 7.</w:t>
            </w:r>
          </w:p>
        </w:tc>
      </w:tr>
      <w:tr>
        <w:tc>
          <w:tcPr>
            <w:tcW w:type="dxa" w:w="4320"/>
          </w:tcPr>
          <w:p>
            <w:r>
              <w:rPr>
                <w:b/>
                <w:color w:val="0B5E7B"/>
                <w:sz w:val="18"/>
              </w:rPr>
              <w:t>Correo electrónico</w:t>
            </w:r>
          </w:p>
        </w:tc>
        <w:tc>
          <w:tcPr>
            <w:tcW w:type="dxa" w:w="4320"/>
          </w:tcPr>
          <w:p>
            <w:r>
              <w:rPr>
                <w:color w:val="424242"/>
                <w:sz w:val="18"/>
              </w:rPr>
              <w:t>Puede ser correo corporativo o personal.</w:t>
            </w:r>
          </w:p>
        </w:tc>
      </w:tr>
      <w:tr>
        <w:tc>
          <w:tcPr>
            <w:tcW w:type="dxa" w:w="4320"/>
          </w:tcPr>
          <w:p>
            <w:r>
              <w:rPr>
                <w:b/>
                <w:color w:val="0B5E7B"/>
                <w:sz w:val="18"/>
              </w:rPr>
              <w:t>Email gestión SAGRILAFT</w:t>
            </w:r>
          </w:p>
        </w:tc>
        <w:tc>
          <w:tcPr>
            <w:tcW w:type="dxa" w:w="4320"/>
          </w:tcPr>
          <w:p>
            <w:r>
              <w:rPr>
                <w:color w:val="424242"/>
                <w:sz w:val="18"/>
              </w:rPr>
              <w:t>El correo puede coincidir con el del punto anterior.</w:t>
            </w:r>
          </w:p>
        </w:tc>
      </w:tr>
      <w:tr>
        <w:tc>
          <w:tcPr>
            <w:tcW w:type="dxa" w:w="4320"/>
          </w:tcPr>
          <w:p>
            <w:r>
              <w:rPr>
                <w:b/>
                <w:color w:val="0B5E7B"/>
                <w:sz w:val="18"/>
              </w:rPr>
              <w:t>Actividad principal CIIU</w:t>
            </w:r>
          </w:p>
        </w:tc>
        <w:tc>
          <w:tcPr>
            <w:tcW w:type="dxa" w:w="4320"/>
          </w:tcPr>
          <w:p>
            <w:r>
              <w:rPr>
                <w:color w:val="424242"/>
                <w:sz w:val="18"/>
              </w:rPr>
              <w:t>Debe coincidir con el RUT, cámara de comercio y/o documento equivalente.</w:t>
            </w:r>
          </w:p>
        </w:tc>
      </w:tr>
      <w:tr>
        <w:tc>
          <w:tcPr>
            <w:tcW w:type="dxa" w:w="4320"/>
          </w:tcPr>
          <w:p>
            <w:r>
              <w:rPr>
                <w:b/>
                <w:color w:val="0B5E7B"/>
                <w:sz w:val="18"/>
              </w:rPr>
              <w:t>Actividad económica CIIU (Natural)</w:t>
            </w:r>
          </w:p>
        </w:tc>
        <w:tc>
          <w:tcPr>
            <w:tcW w:type="dxa" w:w="4320"/>
          </w:tcPr>
          <w:p>
            <w:r>
              <w:rPr>
                <w:color w:val="424242"/>
                <w:sz w:val="18"/>
              </w:rPr>
              <w:t>Debe coincidir con el RUT o con la declaración de renta.</w:t>
            </w:r>
          </w:p>
        </w:tc>
      </w:tr>
      <w:tr>
        <w:tc>
          <w:tcPr>
            <w:tcW w:type="dxa" w:w="4320"/>
          </w:tcPr>
          <w:p>
            <w:r>
              <w:rPr>
                <w:b/>
                <w:color w:val="0B5E7B"/>
                <w:sz w:val="18"/>
              </w:rPr>
              <w:t>País de domicilio principal</w:t>
            </w:r>
          </w:p>
        </w:tc>
        <w:tc>
          <w:tcPr>
            <w:tcW w:type="dxa" w:w="4320"/>
          </w:tcPr>
          <w:p>
            <w:r>
              <w:rPr>
                <w:color w:val="424242"/>
                <w:sz w:val="18"/>
              </w:rPr>
              <w:t>Cascada: en el original habilita Departamento y Ciudad.</w:t>
            </w:r>
          </w:p>
        </w:tc>
      </w:tr>
      <w:tr>
        <w:tc>
          <w:tcPr>
            <w:tcW w:type="dxa" w:w="4320"/>
          </w:tcPr>
          <w:p>
            <w:r>
              <w:rPr>
                <w:b/>
                <w:color w:val="0B5E7B"/>
                <w:sz w:val="18"/>
              </w:rPr>
              <w:t>Tipo de persona del accionista</w:t>
            </w:r>
          </w:p>
        </w:tc>
        <w:tc>
          <w:tcPr>
            <w:tcW w:type="dxa" w:w="4320"/>
          </w:tcPr>
          <w:p>
            <w:r>
              <w:rPr>
                <w:color w:val="424242"/>
                <w:sz w:val="18"/>
              </w:rPr>
              <w:t>Participación = tenencia de acciones, cuotas sociales o cualquier interés económico o de control.</w:t>
            </w:r>
          </w:p>
        </w:tc>
      </w:tr>
      <w:tr>
        <w:tc>
          <w:tcPr>
            <w:tcW w:type="dxa" w:w="4320"/>
          </w:tcPr>
          <w:p>
            <w:r>
              <w:rPr>
                <w:b/>
                <w:color w:val="0B5E7B"/>
                <w:sz w:val="18"/>
              </w:rPr>
              <w:t>Porcentaje de participación</w:t>
            </w:r>
          </w:p>
        </w:tc>
        <w:tc>
          <w:tcPr>
            <w:tcW w:type="dxa" w:w="4320"/>
          </w:tcPr>
          <w:p>
            <w:r>
              <w:rPr>
                <w:color w:val="424242"/>
                <w:sz w:val="18"/>
              </w:rPr>
              <w:t>Aviso si es menor al 5%. Accionistas con 5% o más se consideran beneficiarios finales.</w:t>
            </w:r>
          </w:p>
        </w:tc>
      </w:tr>
      <w:tr>
        <w:tc>
          <w:tcPr>
            <w:tcW w:type="dxa" w:w="4320"/>
          </w:tcPr>
          <w:p>
            <w:r>
              <w:rPr>
                <w:b/>
                <w:color w:val="0B5E7B"/>
                <w:sz w:val="18"/>
              </w:rPr>
              <w:t>Participación en sociedades (Natural)</w:t>
            </w:r>
          </w:p>
        </w:tc>
        <w:tc>
          <w:tcPr>
            <w:tcW w:type="dxa" w:w="4320"/>
          </w:tcPr>
          <w:p>
            <w:r>
              <w:rPr>
                <w:color w:val="424242"/>
                <w:sz w:val="18"/>
              </w:rPr>
              <w:t>Participación = tenencia de acciones, cuotas sociales o cualquier interés económico o de control.</w:t>
            </w:r>
          </w:p>
        </w:tc>
      </w:tr>
      <w:tr>
        <w:tc>
          <w:tcPr>
            <w:tcW w:type="dxa" w:w="4320"/>
          </w:tcPr>
          <w:p>
            <w:r>
              <w:rPr>
                <w:b/>
                <w:color w:val="0B5E7B"/>
                <w:sz w:val="18"/>
              </w:rPr>
              <w:t>Moneda de reporte</w:t>
            </w:r>
          </w:p>
        </w:tc>
        <w:tc>
          <w:tcPr>
            <w:tcW w:type="dxa" w:w="4320"/>
          </w:tcPr>
          <w:p>
            <w:r>
              <w:rPr>
                <w:color w:val="424242"/>
                <w:sz w:val="18"/>
              </w:rPr>
              <w:t>Todos los campos de esta sección deben estar en la misma moneda.</w:t>
            </w:r>
          </w:p>
        </w:tc>
      </w:tr>
      <w:tr>
        <w:tc>
          <w:tcPr>
            <w:tcW w:type="dxa" w:w="4320"/>
          </w:tcPr>
          <w:p>
            <w:r>
              <w:rPr>
                <w:b/>
                <w:color w:val="0B5E7B"/>
                <w:sz w:val="18"/>
              </w:rPr>
              <w:t>Patrimonio</w:t>
            </w:r>
          </w:p>
        </w:tc>
        <w:tc>
          <w:tcPr>
            <w:tcW w:type="dxa" w:w="4320"/>
          </w:tcPr>
          <w:p>
            <w:r>
              <w:rPr>
                <w:color w:val="424242"/>
                <w:sz w:val="18"/>
              </w:rPr>
              <w:t>Patrimonio = Total activos − Total pasivos.</w:t>
            </w:r>
          </w:p>
        </w:tc>
      </w:tr>
      <w:tr>
        <w:tc>
          <w:tcPr>
            <w:tcW w:type="dxa" w:w="4320"/>
          </w:tcPr>
          <w:p>
            <w:r>
              <w:rPr>
                <w:b/>
                <w:color w:val="0B5E7B"/>
                <w:sz w:val="18"/>
              </w:rPr>
              <w:t>Entidad bancaria</w:t>
            </w:r>
          </w:p>
        </w:tc>
        <w:tc>
          <w:tcPr>
            <w:tcW w:type="dxa" w:w="4320"/>
          </w:tcPr>
          <w:p>
            <w:r>
              <w:rPr>
                <w:color w:val="424242"/>
                <w:sz w:val="18"/>
              </w:rPr>
              <w:t>Cuenta a la que llegarán los pagos. Debe coincidir con la certificación bancaria adjunta.</w:t>
            </w:r>
          </w:p>
        </w:tc>
      </w:tr>
      <w:tr>
        <w:tc>
          <w:tcPr>
            <w:tcW w:type="dxa" w:w="4320"/>
          </w:tcPr>
          <w:p>
            <w:r>
              <w:rPr>
                <w:b/>
                <w:color w:val="0B5E7B"/>
                <w:sz w:val="18"/>
              </w:rPr>
              <w:t>PEP — Exposición política</w:t>
            </w:r>
          </w:p>
        </w:tc>
        <w:tc>
          <w:tcPr>
            <w:tcW w:type="dxa" w:w="4320"/>
          </w:tcPr>
          <w:p>
            <w:r>
              <w:rPr>
                <w:color w:val="424242"/>
                <w:sz w:val="18"/>
              </w:rPr>
              <w:t>Decreto 830 de 2021: personas con funciones públicas destacadas, sus familiares hasta 2º grado y asociados cercanos.</w:t>
            </w:r>
          </w:p>
        </w:tc>
      </w:tr>
      <w:tr>
        <w:tc>
          <w:tcPr>
            <w:tcW w:type="dxa" w:w="4320"/>
          </w:tcPr>
          <w:p>
            <w:r>
              <w:rPr>
                <w:b/>
                <w:color w:val="0B5E7B"/>
                <w:sz w:val="18"/>
              </w:rPr>
              <w:t>Actividades con activos virtuales</w:t>
            </w:r>
          </w:p>
        </w:tc>
        <w:tc>
          <w:tcPr>
            <w:tcW w:type="dxa" w:w="4320"/>
          </w:tcPr>
          <w:p>
            <w:r>
              <w:rPr>
                <w:color w:val="424242"/>
                <w:sz w:val="18"/>
              </w:rPr>
              <w:t>Activos virtuales = representaciones digitales de valor (criptomonedas, tokens). VASP = Proveedor de Servicios de Activos Virtuales.</w:t>
            </w:r>
          </w:p>
        </w:tc>
      </w:tr>
      <w:tr>
        <w:tc>
          <w:tcPr>
            <w:tcW w:type="dxa" w:w="4320"/>
          </w:tcPr>
          <w:p>
            <w:r>
              <w:rPr>
                <w:b/>
                <w:color w:val="0B5E7B"/>
                <w:sz w:val="18"/>
              </w:rPr>
              <w:t>RUT</w:t>
            </w:r>
          </w:p>
        </w:tc>
        <w:tc>
          <w:tcPr>
            <w:tcW w:type="dxa" w:w="4320"/>
          </w:tcPr>
          <w:p>
            <w:r>
              <w:rPr>
                <w:color w:val="424242"/>
                <w:sz w:val="18"/>
              </w:rPr>
              <w:t>Vigencia no mayor a 30 días.</w:t>
            </w:r>
          </w:p>
        </w:tc>
      </w:tr>
      <w:tr>
        <w:tc>
          <w:tcPr>
            <w:tcW w:type="dxa" w:w="4320"/>
          </w:tcPr>
          <w:p>
            <w:r>
              <w:rPr>
                <w:b/>
                <w:color w:val="0B5E7B"/>
                <w:sz w:val="18"/>
              </w:rPr>
              <w:t>Certificación bancaria</w:t>
            </w:r>
          </w:p>
        </w:tc>
        <w:tc>
          <w:tcPr>
            <w:tcW w:type="dxa" w:w="4320"/>
          </w:tcPr>
          <w:p>
            <w:r>
              <w:rPr>
                <w:color w:val="424242"/>
                <w:sz w:val="18"/>
              </w:rPr>
              <w:t>Firmada por la entidad, vigencia &lt; 30 días.</w:t>
            </w:r>
          </w:p>
        </w:tc>
      </w:tr>
      <w:tr>
        <w:tc>
          <w:tcPr>
            <w:tcW w:type="dxa" w:w="4320"/>
          </w:tcPr>
          <w:p>
            <w:r>
              <w:rPr>
                <w:b/>
                <w:color w:val="0B5E7B"/>
                <w:sz w:val="18"/>
              </w:rPr>
              <w:t>Certificado de existencia y representación legal</w:t>
            </w:r>
          </w:p>
        </w:tc>
        <w:tc>
          <w:tcPr>
            <w:tcW w:type="dxa" w:w="4320"/>
          </w:tcPr>
          <w:p>
            <w:r>
              <w:rPr>
                <w:color w:val="424242"/>
                <w:sz w:val="18"/>
              </w:rPr>
              <w:t>Cámara de Comercio. Expedición no mayor a 30 días.</w:t>
            </w:r>
          </w:p>
        </w:tc>
      </w:tr>
      <w:tr>
        <w:tc>
          <w:tcPr>
            <w:tcW w:type="dxa" w:w="4320"/>
          </w:tcPr>
          <w:p>
            <w:r>
              <w:rPr>
                <w:b/>
                <w:color w:val="0B5E7B"/>
                <w:sz w:val="18"/>
              </w:rPr>
              <w:t>Documento de identidad del Representante Legal</w:t>
            </w:r>
          </w:p>
        </w:tc>
        <w:tc>
          <w:tcPr>
            <w:tcW w:type="dxa" w:w="4320"/>
          </w:tcPr>
          <w:p>
            <w:r>
              <w:rPr>
                <w:color w:val="424242"/>
                <w:sz w:val="18"/>
              </w:rPr>
              <w:t>Copia legible vigente. Uno por cada representante legal registrado.</w:t>
            </w:r>
          </w:p>
        </w:tc>
      </w:tr>
      <w:tr>
        <w:tc>
          <w:tcPr>
            <w:tcW w:type="dxa" w:w="4320"/>
          </w:tcPr>
          <w:p>
            <w:r>
              <w:rPr>
                <w:b/>
                <w:color w:val="0B5E7B"/>
                <w:sz w:val="18"/>
              </w:rPr>
              <w:t>Estados financieros</w:t>
            </w:r>
          </w:p>
        </w:tc>
        <w:tc>
          <w:tcPr>
            <w:tcW w:type="dxa" w:w="4320"/>
          </w:tcPr>
          <w:p>
            <w:r>
              <w:rPr>
                <w:color w:val="424242"/>
                <w:sz w:val="18"/>
              </w:rPr>
              <w:t>Firmados por Representante Legal y Contador/Revisor Fiscal.</w:t>
            </w:r>
          </w:p>
        </w:tc>
      </w:tr>
      <w:tr>
        <w:tc>
          <w:tcPr>
            <w:tcW w:type="dxa" w:w="4320"/>
          </w:tcPr>
          <w:p>
            <w:r>
              <w:rPr>
                <w:b/>
                <w:color w:val="0B5E7B"/>
                <w:sz w:val="18"/>
              </w:rPr>
              <w:t>Certificado de composición accionaria</w:t>
            </w:r>
          </w:p>
        </w:tc>
        <w:tc>
          <w:tcPr>
            <w:tcW w:type="dxa" w:w="4320"/>
          </w:tcPr>
          <w:p>
            <w:r>
              <w:rPr>
                <w:color w:val="424242"/>
                <w:sz w:val="18"/>
              </w:rPr>
              <w:t>Estructura de capital firmada por Revisor Fiscal / Contador / Rep. Legal.</w:t>
            </w:r>
          </w:p>
        </w:tc>
      </w:tr>
      <w:tr>
        <w:tc>
          <w:tcPr>
            <w:tcW w:type="dxa" w:w="4320"/>
          </w:tcPr>
          <w:p>
            <w:r>
              <w:rPr>
                <w:b/>
                <w:color w:val="0B5E7B"/>
                <w:sz w:val="18"/>
              </w:rPr>
              <w:t>Copia del documento de identidad (Natural)</w:t>
            </w:r>
          </w:p>
        </w:tc>
        <w:tc>
          <w:tcPr>
            <w:tcW w:type="dxa" w:w="4320"/>
          </w:tcPr>
          <w:p>
            <w:r>
              <w:rPr>
                <w:color w:val="424242"/>
                <w:sz w:val="18"/>
              </w:rPr>
              <w:t>Copia legible vigente; debe coincidir con la Sección 1.</w:t>
            </w:r>
          </w:p>
        </w:tc>
      </w:tr>
      <w:tr>
        <w:tc>
          <w:tcPr>
            <w:tcW w:type="dxa" w:w="4320"/>
          </w:tcPr>
          <w:p>
            <w:r>
              <w:rPr>
                <w:b/>
                <w:color w:val="0B5E7B"/>
                <w:sz w:val="18"/>
              </w:rPr>
              <w:t>Declaración de renta o juramentada</w:t>
            </w:r>
          </w:p>
        </w:tc>
        <w:tc>
          <w:tcPr>
            <w:tcW w:type="dxa" w:w="4320"/>
          </w:tcPr>
          <w:p>
            <w:r>
              <w:rPr>
                <w:color w:val="424242"/>
                <w:sz w:val="18"/>
              </w:rPr>
              <w:t>Último año fiscal o declaración juramentada de ingresos.</w:t>
            </w:r>
          </w:p>
        </w:tc>
      </w:tr>
      <w:tr>
        <w:tc>
          <w:tcPr>
            <w:tcW w:type="dxa" w:w="4320"/>
          </w:tcPr>
          <w:p>
            <w:r>
              <w:rPr>
                <w:b/>
                <w:color w:val="0B5E7B"/>
                <w:sz w:val="18"/>
              </w:rPr>
              <w:t>Carta declaración origen de fondos</w:t>
            </w:r>
          </w:p>
        </w:tc>
        <w:tc>
          <w:tcPr>
            <w:tcW w:type="dxa" w:w="4320"/>
          </w:tcPr>
          <w:p>
            <w:r>
              <w:rPr>
                <w:color w:val="424242"/>
                <w:sz w:val="18"/>
              </w:rPr>
              <w:t>Firmada por la persona natural.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4242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