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jc w:val="center"/>
      </w:pPr>
      <w:r>
        <w:rPr>
          <w:rFonts w:ascii="Arial" w:cs="Arial" w:eastAsia="Arial" w:hAnsi="Arial"/>
          <w:b/>
          <w:bCs/>
          <w:color w:val="595959"/>
          <w:sz w:val="28"/>
          <w:szCs w:val="28"/>
        </w:rPr>
        <w:t xml:space="preserve">COLLECTIVE MINING</w:t>
      </w:r>
    </w:p>
    <w:p>
      <w:pPr>
        <w:spacing w:after="80" w:before="0"/>
      </w:pPr>
      <w:r>
        <w:t xml:space="preserve"/>
      </w:r>
    </w:p>
    <w:p>
      <w:pPr>
        <w:pBdr>
          <w:bottom w:val="single" w:color="2E75B6" w:sz="12" w:space="4"/>
        </w:pBdr>
        <w:jc w:val="center"/>
      </w:pPr>
      <w:r>
        <w:t xml:space="preserve"/>
      </w:r>
    </w:p>
    <w:p>
      <w:pPr>
        <w:spacing w:after="160" w:before="0"/>
      </w:pPr>
      <w:r>
        <w:t xml:space="preserve"/>
      </w:r>
    </w:p>
    <w:p>
      <w:pPr>
        <w:jc w:val="center"/>
      </w:pPr>
      <w:r>
        <w:rPr>
          <w:rFonts w:ascii="Arial" w:cs="Arial" w:eastAsia="Arial" w:hAnsi="Arial"/>
          <w:b/>
          <w:bCs/>
          <w:color w:val="1F3864"/>
          <w:sz w:val="48"/>
          <w:szCs w:val="48"/>
        </w:rPr>
        <w:t xml:space="preserve">Plan de Migracion de Base de Datos</w:t>
      </w:r>
    </w:p>
    <w:p>
      <w:pPr>
        <w:spacing w:after="80" w:before="0"/>
      </w:pPr>
      <w:r>
        <w:t xml:space="preserve"/>
      </w:r>
    </w:p>
    <w:p>
      <w:pPr>
        <w:jc w:val="center"/>
      </w:pPr>
      <w:r>
        <w:rPr>
          <w:rFonts w:ascii="Arial" w:cs="Arial" w:eastAsia="Arial" w:hAnsi="Arial"/>
          <w:color w:val="2E75B6"/>
          <w:sz w:val="32"/>
          <w:szCs w:val="32"/>
        </w:rPr>
        <w:t xml:space="preserve">MineDax  ·  SQL Server Express  →  PostgreSQL 17</w:t>
      </w:r>
    </w:p>
    <w:p>
      <w:pPr>
        <w:spacing w:after="160" w:before="0"/>
      </w:pPr>
      <w:r>
        <w:t xml:space="preserve"/>
      </w:r>
    </w:p>
    <w:p>
      <w:pPr>
        <w:pBdr>
          <w:top w:val="single" w:color="2E75B6" w:sz="6" w:space="4"/>
        </w:pBdr>
        <w:jc w:val="center"/>
      </w:pPr>
      <w:r>
        <w:t xml:space="preserve"/>
      </w:r>
    </w:p>
    <w:p>
      <w:pPr>
        <w:spacing w:after="320" w:before="0"/>
      </w:pPr>
      <w:r>
        <w:t xml:space="preserve"/>
      </w:r>
    </w:p>
    <w:p>
      <w:pPr>
        <w:jc w:val="center"/>
      </w:pPr>
      <w:r>
        <w:rPr>
          <w:rFonts w:ascii="Arial" w:cs="Arial" w:eastAsia="Arial" w:hAnsi="Arial"/>
          <w:i/>
          <w:iCs/>
          <w:color w:val="595959"/>
          <w:sz w:val="22"/>
          <w:szCs w:val="22"/>
        </w:rPr>
        <w:t xml:space="preserve">Migracion Transparente · Sin Impacto en Frontend · Entorno Cerrado de Validacion</w:t>
      </w:r>
    </w:p>
    <w:p>
      <w:pPr>
        <w:spacing w:after="240" w:before="0"/>
      </w:pPr>
      <w:r>
        <w:t xml:space="preserve"/>
      </w:r>
    </w:p>
    <w:p>
      <w:pPr>
        <w:jc w:val="center"/>
      </w:pPr>
      <w:r>
        <w:rPr>
          <w:rFonts w:ascii="Arial" w:cs="Arial" w:eastAsia="Arial" w:hAnsi="Arial"/>
          <w:color w:val="595959"/>
          <w:sz w:val="22"/>
          <w:szCs w:val="22"/>
        </w:rPr>
        <w:t xml:space="preserve">Junio 2026</w:t>
      </w:r>
    </w:p>
    <w:p>
      <w:pPr>
        <w:jc w:val="center"/>
      </w:pPr>
      <w:r>
        <w:rPr>
          <w:rFonts w:ascii="Arial" w:cs="Arial" w:eastAsia="Arial" w:hAnsi="Arial"/>
          <w:i/>
          <w:iCs/>
          <w:color w:val="595959"/>
          <w:sz w:val="20"/>
          <w:szCs w:val="20"/>
        </w:rPr>
        <w:t xml:space="preserve">Version 1.0  —  Confidencial</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80" w:before="360"/>
      </w:pPr>
      <w:r>
        <w:rPr>
          <w:rFonts w:ascii="Arial" w:cs="Arial" w:eastAsia="Arial" w:hAnsi="Arial"/>
          <w:b/>
          <w:bCs/>
          <w:color w:val="1F3864"/>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1. Resumen Ejecutivo</w:t>
      </w:r>
    </w:p>
    <w:p>
      <w:pPr>
        <w:spacing w:after="100" w:before="60"/>
        <w:jc w:val="both"/>
      </w:pPr>
      <w:r>
        <w:rPr>
          <w:rFonts w:ascii="Arial" w:cs="Arial" w:eastAsia="Arial" w:hAnsi="Arial"/>
          <w:sz w:val="22"/>
          <w:szCs w:val="22"/>
        </w:rPr>
        <w:t xml:space="preserve">Este documento establece el plan tecnico y operativo para migrar la base de datos MineDax desde Microsoft SQL Server 2025 Express Edition hacia PostgreSQL 17, garantizando continuidad total del sistema en produccion durante la transicion. La estrategia adoptada es de cambio de enrutamiento: el frontend y la capa de aplicacion no necesitan ser modificados; unicamente se actualiza la cadena de conexion una vez validado el entorno paralelo.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OBJETIVO</w:t>
            </w:r>
          </w:p>
        </w:tc>
        <w:tc>
          <w:tcPr>
            <w:tcW w:type="dxa" w:w="8160"/>
            <w:tcBorders>
              <w:top w:val="single" w:color="2E75B6" w:sz="1"/>
              <w:left w:val="none" w:color="FFFFFF" w:sz="0"/>
              <w:bottom w:val="single" w:color="2E75B6" w:sz="1"/>
              <w:right w:val="single" w:color="2E75B6" w:sz="1"/>
            </w:tcBorders>
            <w:shd w:fill="F0F7FF" w:val="clear"/>
            <w:tcMar>
              <w:top w:type="dxa" w:w="100"/>
              <w:left w:type="dxa" w:w="160"/>
              <w:bottom w:type="dxa" w:w="100"/>
              <w:right w:type="dxa" w:w="160"/>
            </w:tcMar>
          </w:tcPr>
          <w:p>
            <w:r>
              <w:rPr>
                <w:rFonts w:ascii="Arial" w:cs="Arial" w:eastAsia="Arial" w:hAnsi="Arial"/>
                <w:sz w:val="20"/>
                <w:szCs w:val="20"/>
              </w:rPr>
              <w:t xml:space="preserve">Migracion completa de MineDax sin downtime perceptible, sin cambios en el frontend, con validacion en entorno cerrado y mejora estructural de la plataforma.</w:t>
            </w:r>
          </w:p>
        </w:tc>
      </w:tr>
    </w:tbl>
    <w:p>
      <w:pPr>
        <w:spacing w:after="80" w:before="0"/>
      </w:pPr>
      <w:r>
        <w:t xml:space="preserve"/>
      </w:r>
    </w:p>
    <w:p>
      <w:pPr>
        <w:spacing w:after="100" w:before="60"/>
        <w:jc w:val="both"/>
      </w:pPr>
      <w:r>
        <w:rPr>
          <w:rFonts w:ascii="Arial" w:cs="Arial" w:eastAsia="Arial" w:hAnsi="Arial"/>
          <w:sz w:val="22"/>
          <w:szCs w:val="22"/>
        </w:rPr>
        <w:t xml:space="preserve">El sistema MineDax gestiona nomina, KYC, formularios de terceros (personas naturales y juridicas), trazabilidad documental y autenticacion. La migracion preserva el 100% de los datos, objetos de base de datos y comportamiento funcional, mejorando la capacidad de crecimiento, la seguridad y la portabilidad hacia la intranet corporativa.</w:t>
      </w:r>
    </w:p>
    <w:p>
      <w:pPr>
        <w:spacing w:after="160" w:before="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2. Inventario del Estado Actual</w:t>
      </w:r>
    </w:p>
    <w:p>
      <w:pPr>
        <w:pStyle w:val="Heading2"/>
        <w:spacing w:after="120" w:before="280"/>
      </w:pPr>
      <w:r>
        <w:rPr>
          <w:rFonts w:ascii="Arial" w:cs="Arial" w:eastAsia="Arial" w:hAnsi="Arial"/>
          <w:b/>
          <w:bCs/>
          <w:color w:val="2E75B6"/>
          <w:sz w:val="26"/>
          <w:szCs w:val="26"/>
        </w:rPr>
        <w:t xml:space="preserve">2.1 Servidor y Edicion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Parametro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 actual</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Observacion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CM-ITD-P-05\SQLEXPRESS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10 Pro, Hypervisor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2025 Express 17.0.1000.7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Express Edition — limitada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datos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MineDax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Esquemas: dbo, SEC, NOMINA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Cifrado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Deshabilitado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Riesgo — datos sensibles sin cifrar en transito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Tamano maximo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 GB (limite Express)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limite en PostgreSQL 17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Agent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disponible (Express)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Reemplazado por pg_cron en PostgreSQL</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2.2 Inventario Completo de Objetos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de objeto</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Cantidad</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Tablas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68</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63 en dbo (GN_, MAE_, NO_) + 5 en SEC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Columnas totales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1.128</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Auditadas columna por columna con tipos exactos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KEY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Todas identificadas y mapeadas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FOREIGN KEY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Integridad referencial completa documentada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constraints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Indices unicos simples y compuestos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constraints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Validaciones de dominio a nivel de BD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 constraints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231</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getdate()→CURRENT_TIMESTAMP, newid()→gen_random_uuid()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Indices totales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109</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Cubrientes, compuestos, de busqueda textual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Vistas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Esquemas dbo y NOMINA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Stored Procedures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 de negocio + 9 de diagramas (se omiten en migracion)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logica negocio + 3 auditoria + 14 tracking de actualizaciones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Funciones escalares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fn_GetPeriodByDate, fn_NextCodNoved, ufnGetData_DATETIME_FORMAT</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2.3 Tablas Adicionales Identificadas en Auditoria de Indices</w:t>
      </w:r>
    </w:p>
    <w:p>
      <w:pPr>
        <w:spacing w:after="100" w:before="60"/>
        <w:jc w:val="both"/>
      </w:pPr>
      <w:r>
        <w:rPr>
          <w:rFonts w:ascii="Arial" w:cs="Arial" w:eastAsia="Arial" w:hAnsi="Arial"/>
          <w:sz w:val="22"/>
          <w:szCs w:val="22"/>
        </w:rPr>
        <w:t xml:space="preserve">Durante el analisis de indices se identificaron tablas presentes en la base de datos pero no en el INFORMATION_SCHEMA inicial. Todas deben migrar: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Proposito inferido</w:t>
            </w:r>
          </w:p>
        </w:tc>
        <w:tc>
          <w:tcPr>
            <w:tcW w:type="dxa" w:w="2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FORM_SOLICITUDES</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Formularios de solicitud con flujo de aprobacion y estados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NO_SOLICITUDES_PEND</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Solicitudes pendientes con token unico de aprobacion (TOK_APRO)</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GN_JEFE_AREA</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Jerarquia organizacional: jefes de area (COD_JEFE como PK)</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GN_LOG_APP</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de eventos de la aplicacion por modulo y nivel de severidad</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2.4 Stored Procedures de Negocio a Migrar (14 criticos)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Stored Procedure</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Esquema</w:t>
            </w:r>
          </w:p>
        </w:tc>
        <w:tc>
          <w:tcPr>
            <w:tcW w:type="dxa" w:w="4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Funcion de negocio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sp_IniciarSesionApp</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Autenticacion de usuario en la aplicacion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sp_ValidarUsuario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Validacion de credenciales y estado de cuenta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sp_GestionarUsuario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CRUD completo de usuarios del sistema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sp_CambiarPassword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Cambio de contrasena con hash seguro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sp_HashPassword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Funcion de hashing de contrasenas (SHA-256/bcrypt)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sp_ObtenerPermisos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 de permisos por rol de usuario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sp_VerificarPermiso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Verificacion puntual de un permiso especifico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sp_RegistrarEmpleado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de empleado en el sistema de nomina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sp_RegistrarExportacion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de exportaciones de datos realizadas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SP_CERRAR_SESION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Cierre de sesion y limpieza de tokens activos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SP_CREAR_USUAR_DESDE_FUNCI</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Crear usuario desde registro de funcionario existente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SP_REGISTRAR_INTENTO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de intentos fallidos de login (bloqueo)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sp_NO_OCASI_Crear / Actualizar / AnularLogico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CRUD de novedades ocasionales de nomina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sp_calendar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dbo</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Poblacion de tabla de calendario GN_FECHA</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2.5 Triggers Criticos — Clasificacion y Equivalencia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9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Tabla afectada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Equivalente en PostgreSQL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trg_MAE_TERC_Hist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MAE_TERC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 ANTES/DESPUES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 retorna trigger + CREATE TRIGGER PL/pgSQL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trg_NO_CONCE_Auditoria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NO_CONCE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 de conceptos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 + TRIGGER — registra en SEC.HIST_NOMINA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trg_NO_PERIOD_Auditoria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NO_PERIOD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 de periodos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 + TRIGGER — registra en SEC.HIST_NOMINA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TR_NO_NOVED_PERIODO_CERRADO</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NO_NOVED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Regla de negocio</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 con RAISE EXCEPTION cuando periodo esta cerrado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TR_NO_OCASI_VALIDA_CONCEPTO</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NO_OCASI</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Validacion de concepto</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avanzado + TRIGGER con validacion cruzada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trg_*_upd (x14 tablas MAE_*)</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MAE_BANCO, MAE_CARGO, MAE_CCOST, etc.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Tracking de actualizaciones</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 generico PL/pgSQL reutilizable por todas las MAE_</w:t>
            </w:r>
          </w:p>
        </w:tc>
      </w:tr>
    </w:tbl>
    <w:p>
      <w:pPr>
        <w:spacing w:after="1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3. Estrategia de Migracion: Cambio de Enrutamiento</w:t>
      </w:r>
    </w:p>
    <w:p>
      <w:pPr>
        <w:spacing w:after="100" w:before="60"/>
        <w:jc w:val="both"/>
      </w:pPr>
      <w:r>
        <w:rPr>
          <w:rFonts w:ascii="Arial" w:cs="Arial" w:eastAsia="Arial" w:hAnsi="Arial"/>
          <w:sz w:val="22"/>
          <w:szCs w:val="22"/>
        </w:rPr>
        <w:t xml:space="preserve">La estrategia adoptada para MineDax se denomina Blue-Green con sincronizacion de delta controlada. El frontend no cambia en ninguna linea de codigo. El unico cambio visible es el archivo de configuracion de conexion a base de datos, ejecutado en una ventana de mantenimiento de menos de 5 minutos.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PRINCIPIO CLAVE</w:t>
            </w:r>
          </w:p>
        </w:tc>
        <w:tc>
          <w:tcPr>
            <w:tcW w:type="dxa" w:w="8160"/>
            <w:tcBorders>
              <w:top w:val="single" w:color="375623" w:sz="1"/>
              <w:left w:val="none" w:color="FFFFFF" w:sz="0"/>
              <w:bottom w:val="single" w:color="375623" w:sz="1"/>
              <w:right w:val="single" w:color="375623" w:sz="1"/>
            </w:tcBorders>
            <w:shd w:fill="F0F7FF" w:val="clear"/>
            <w:tcMar>
              <w:top w:type="dxa" w:w="100"/>
              <w:left w:type="dxa" w:w="160"/>
              <w:bottom w:type="dxa" w:w="100"/>
              <w:right w:type="dxa" w:w="160"/>
            </w:tcMar>
          </w:tcPr>
          <w:p>
            <w:r>
              <w:rPr>
                <w:rFonts w:ascii="Arial" w:cs="Arial" w:eastAsia="Arial" w:hAnsi="Arial"/>
                <w:sz w:val="20"/>
                <w:szCs w:val="20"/>
              </w:rPr>
              <w:t xml:space="preserve">El frontend no cambia en ninguna linea de codigo. El unico cambio visible es el archivo de configuracion de conexion a base de datos, ejecutado en una ventana de mantenimiento de menos de 5 minutos.</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3.1 Comparacion: Antes y Despues del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Capa del sistema</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ANTES del corte (SQL Server)</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DESPUES del corte (PostgreSQL)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cambios — apunta a SQL Server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cambios — apunta a PostgreSQL (solo config)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 Backend</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cambios — cadena SQL Server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Cadena de conexion actualizada a PostgreSQL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datos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Express activo y en produccion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17 en servidor intranet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Autenticacion</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sp_IniciarSesionApp en T-SQL</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Funcion equivalente PL/pgSQL — misma firma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Triggers T-SQL en SEC.AUDIT_LOG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Triggers PL/pgSQL + pgaudit a nivel de motor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Backups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Manual / Windows Task Scheduler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pg_cron automatico a las 2:00 AM diariamente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Cifrado</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Deshabilitado</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SSL/TLS con certificado autofirmado para intranet</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3.2 Cambio de Cadena de Conexion — Unica Modificacion en Produccion</w:t>
      </w:r>
    </w:p>
    <w:p>
      <w:pPr>
        <w:pStyle w:val="Heading3"/>
        <w:spacing w:after="80" w:before="200"/>
      </w:pPr>
      <w:r>
        <w:rPr>
          <w:rFonts w:ascii="Arial" w:cs="Arial" w:eastAsia="Arial" w:hAnsi="Arial"/>
          <w:b/>
          <w:bCs/>
          <w:color w:val="595959"/>
          <w:sz w:val="22"/>
          <w:szCs w:val="22"/>
        </w:rPr>
        <w:t xml:space="preserve">Archivo .env / config.json / appsettings.json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ANTES (SQL Server) — linea a reemplazar:</w:t>
            </w:r>
          </w:p>
          <w:p>
            <w:r>
              <w:rPr>
                <w:rFonts w:ascii="Courier New" w:cs="Courier New" w:eastAsia="Courier New" w:hAnsi="Courier New"/>
                <w:color w:val="C00000"/>
                <w:sz w:val="18"/>
                <w:szCs w:val="18"/>
              </w:rPr>
              <w:t xml:space="preserve">SERVER=CM-ITD-P-05\SQLEXPRESS; DATABASE=MineDax; Trusted_Connection=yes;</w:t>
            </w:r>
          </w:p>
          <w:p>
            <w:r>
              <w:rPr>
                <w:rFonts w:ascii="Courier New" w:cs="Courier New" w:eastAsia="Courier New" w:hAnsi="Courier New"/>
                <w:color w:val="4EC9B0"/>
                <w:sz w:val="18"/>
                <w:szCs w:val="18"/>
              </w:rPr>
              <w:t xml:space="preserve"/>
            </w:r>
          </w:p>
          <w:p>
            <w:r>
              <w:rPr>
                <w:rFonts w:ascii="Courier New" w:cs="Courier New" w:eastAsia="Courier New" w:hAnsi="Courier New"/>
                <w:color w:val="6A9955"/>
                <w:sz w:val="18"/>
                <w:szCs w:val="18"/>
              </w:rPr>
              <w:t xml:space="preserve"># DESPUES (PostgreSQL) — nueva cadena:</w:t>
            </w:r>
          </w:p>
          <w:p>
            <w:r>
              <w:rPr>
                <w:rFonts w:ascii="Courier New" w:cs="Courier New" w:eastAsia="Courier New" w:hAnsi="Courier New"/>
                <w:color w:val="4EC9B0"/>
                <w:sz w:val="18"/>
                <w:szCs w:val="18"/>
              </w:rPr>
              <w:t xml:space="preserve">host=192.168.X.X; port=5432; dbname=minedax; user=app_minedax; password=***;</w:t>
            </w:r>
          </w:p>
        </w:tc>
      </w:tr>
    </w:tbl>
    <w:p>
      <w:pPr>
        <w:spacing w:after="80" w:before="0"/>
      </w:pPr>
      <w:r>
        <w:t xml:space="preserve"/>
      </w:r>
    </w:p>
    <w:p>
      <w:pPr>
        <w:pStyle w:val="Heading3"/>
        <w:spacing w:after="80" w:before="200"/>
      </w:pPr>
      <w:r>
        <w:rPr>
          <w:rFonts w:ascii="Arial" w:cs="Arial" w:eastAsia="Arial" w:hAnsi="Arial"/>
          <w:b/>
          <w:bCs/>
          <w:color w:val="595959"/>
          <w:sz w:val="22"/>
          <w:szCs w:val="22"/>
        </w:rPr>
        <w:t xml:space="preserve">Si la aplicacion usa SQLAlchemy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ANTES</w:t>
            </w:r>
          </w:p>
          <w:p>
            <w:r>
              <w:rPr>
                <w:rFonts w:ascii="Courier New" w:cs="Courier New" w:eastAsia="Courier New" w:hAnsi="Courier New"/>
                <w:color w:val="C00000"/>
                <w:sz w:val="18"/>
                <w:szCs w:val="18"/>
              </w:rPr>
              <w:t xml:space="preserve">engine = create_engine('mssql+pyodbc://CM-ITD-P-05/MineDax?driver=ODBC+Driver+17')</w:t>
            </w:r>
          </w:p>
          <w:p>
            <w:r>
              <w:rPr>
                <w:rFonts w:ascii="Courier New" w:cs="Courier New" w:eastAsia="Courier New" w:hAnsi="Courier New"/>
                <w:color w:val="6A9955"/>
                <w:sz w:val="18"/>
                <w:szCs w:val="18"/>
              </w:rPr>
              <w:t xml:space="preserve"># DESPUES</w:t>
            </w:r>
          </w:p>
          <w:p>
            <w:r>
              <w:rPr>
                <w:rFonts w:ascii="Courier New" w:cs="Courier New" w:eastAsia="Courier New" w:hAnsi="Courier New"/>
                <w:color w:val="4EC9B0"/>
                <w:sz w:val="18"/>
                <w:szCs w:val="18"/>
              </w:rPr>
              <w:t xml:space="preserve">engine = create_engine('postgresql+psycopg2://app_minedax:***@192.168.X.X/minedax')</w:t>
            </w:r>
          </w:p>
        </w:tc>
      </w:tr>
    </w:tbl>
    <w:p>
      <w:pPr>
        <w:spacing w:after="160" w:before="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4. Plan de Fases Detallado</w:t>
      </w:r>
    </w:p>
    <w:p>
      <w:pPr>
        <w:spacing w:after="100" w:before="60"/>
        <w:jc w:val="both"/>
      </w:pPr>
      <w:r>
        <w:rPr>
          <w:rFonts w:ascii="Arial" w:cs="Arial" w:eastAsia="Arial" w:hAnsi="Arial"/>
          <w:sz w:val="22"/>
          <w:szCs w:val="22"/>
        </w:rPr>
        <w:t xml:space="preserve">La migracion se organiza en cinco fases ejecutables de forma secuencial. Cada fase tiene criterios de salida que deben cumplirse antes de continuar.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40"/>
              <w:left w:type="dxa" w:w="120"/>
              <w:bottom w:type="dxa" w:w="140"/>
              <w:right w:type="dxa" w:w="120"/>
            </w:tcMar>
            <w:vAlign w:val="center"/>
          </w:tcPr>
          <w:p>
            <w:pPr>
              <w:jc w:val="center"/>
            </w:pPr>
            <w:r>
              <w:rPr>
                <w:rFonts w:ascii="Arial" w:cs="Arial" w:eastAsia="Arial" w:hAnsi="Arial"/>
                <w:color w:val="FFFFFF"/>
                <w:sz w:val="16"/>
                <w:szCs w:val="16"/>
              </w:rPr>
              <w:t xml:space="preserve">FASE</w:t>
            </w:r>
            <w:r>
              <w:rPr>
                <w:rFonts w:ascii="Arial" w:cs="Arial" w:eastAsia="Arial" w:hAnsi="Arial"/>
                <w:b/>
                <w:bCs/>
                <w:color w:val="FFFFFF"/>
                <w:sz w:val="36"/>
                <w:szCs w:val="36"/>
              </w:rPr>
              <w:br/>
              <w:t xml:space="preserve">1</w:t>
            </w:r>
          </w:p>
        </w:tc>
        <w:tc>
          <w:tcPr>
            <w:tcW w:type="dxa" w:w="84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Preparacion del Entorno Destino (Semana 1)</w:t>
            </w:r>
          </w:p>
          <w:p>
            <w:pPr>
              <w:spacing w:before="60"/>
            </w:pPr>
            <w:r>
              <w:rPr>
                <w:rFonts w:ascii="Arial" w:cs="Arial" w:eastAsia="Arial" w:hAnsi="Arial"/>
                <w:sz w:val="20"/>
                <w:szCs w:val="20"/>
              </w:rPr>
              <w:t xml:space="preserve">Instalar y configurar PostgreSQL 17 en el servidor de intranet. Crear esquemas, extensiones y ejecutar el DDL generado. Sin contacto con datos de produccion.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40"/>
              <w:left w:type="dxa" w:w="120"/>
              <w:bottom w:type="dxa" w:w="140"/>
              <w:right w:type="dxa" w:w="120"/>
            </w:tcMar>
            <w:vAlign w:val="center"/>
          </w:tcPr>
          <w:p>
            <w:pPr>
              <w:jc w:val="center"/>
            </w:pPr>
            <w:r>
              <w:rPr>
                <w:rFonts w:ascii="Arial" w:cs="Arial" w:eastAsia="Arial" w:hAnsi="Arial"/>
                <w:color w:val="FFFFFF"/>
                <w:sz w:val="16"/>
                <w:szCs w:val="16"/>
              </w:rPr>
              <w:t xml:space="preserve">FASE</w:t>
            </w:r>
            <w:r>
              <w:rPr>
                <w:rFonts w:ascii="Arial" w:cs="Arial" w:eastAsia="Arial" w:hAnsi="Arial"/>
                <w:b/>
                <w:bCs/>
                <w:color w:val="FFFFFF"/>
                <w:sz w:val="36"/>
                <w:szCs w:val="36"/>
              </w:rPr>
              <w:br/>
              <w:t xml:space="preserve">2</w:t>
            </w:r>
          </w:p>
        </w:tc>
        <w:tc>
          <w:tcPr>
            <w:tcW w:type="dxa" w:w="84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Migracion Inicial de Datos en Frio (Semana 1-2)</w:t>
            </w:r>
          </w:p>
          <w:p>
            <w:pPr>
              <w:spacing w:before="60"/>
            </w:pPr>
            <w:r>
              <w:rPr>
                <w:rFonts w:ascii="Arial" w:cs="Arial" w:eastAsia="Arial" w:hAnsi="Arial"/>
                <w:sz w:val="20"/>
                <w:szCs w:val="20"/>
              </w:rPr>
              <w:t xml:space="preserve">Con el sistema en funcionamiento normal en SQL Server, ejecutar el script de migracion en modo dry_run y luego real. Orden: MAE_* -&gt; GN_* -&gt; NO_* -&gt; SEC.*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40"/>
              <w:left w:type="dxa" w:w="120"/>
              <w:bottom w:type="dxa" w:w="140"/>
              <w:right w:type="dxa" w:w="120"/>
            </w:tcMar>
            <w:vAlign w:val="center"/>
          </w:tcPr>
          <w:p>
            <w:pPr>
              <w:jc w:val="center"/>
            </w:pPr>
            <w:r>
              <w:rPr>
                <w:rFonts w:ascii="Arial" w:cs="Arial" w:eastAsia="Arial" w:hAnsi="Arial"/>
                <w:color w:val="FFFFFF"/>
                <w:sz w:val="16"/>
                <w:szCs w:val="16"/>
              </w:rPr>
              <w:t xml:space="preserve">FASE</w:t>
            </w:r>
            <w:r>
              <w:rPr>
                <w:rFonts w:ascii="Arial" w:cs="Arial" w:eastAsia="Arial" w:hAnsi="Arial"/>
                <w:b/>
                <w:bCs/>
                <w:color w:val="FFFFFF"/>
                <w:sz w:val="36"/>
                <w:szCs w:val="36"/>
              </w:rPr>
              <w:br/>
              <w:t xml:space="preserve">3</w:t>
            </w:r>
          </w:p>
        </w:tc>
        <w:tc>
          <w:tcPr>
            <w:tcW w:type="dxa" w:w="84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Validacion en Entorno Cerrado (Semana 2-3)</w:t>
            </w:r>
          </w:p>
          <w:p>
            <w:pPr>
              <w:spacing w:before="60"/>
            </w:pPr>
            <w:r>
              <w:rPr>
                <w:rFonts w:ascii="Arial" w:cs="Arial" w:eastAsia="Arial" w:hAnsi="Arial"/>
                <w:sz w:val="20"/>
                <w:szCs w:val="20"/>
              </w:rPr>
              <w:t xml:space="preserve">Configurar un entorno paralelo de pruebas que apunte a PostgreSQL. Ejecutar todos los flujos criticos del formulario y nomina sin tocar produccion.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40"/>
              <w:left w:type="dxa" w:w="120"/>
              <w:bottom w:type="dxa" w:w="140"/>
              <w:right w:type="dxa" w:w="120"/>
            </w:tcMar>
            <w:vAlign w:val="center"/>
          </w:tcPr>
          <w:p>
            <w:pPr>
              <w:jc w:val="center"/>
            </w:pPr>
            <w:r>
              <w:rPr>
                <w:rFonts w:ascii="Arial" w:cs="Arial" w:eastAsia="Arial" w:hAnsi="Arial"/>
                <w:color w:val="FFFFFF"/>
                <w:sz w:val="16"/>
                <w:szCs w:val="16"/>
              </w:rPr>
              <w:t xml:space="preserve">FASE</w:t>
            </w:r>
            <w:r>
              <w:rPr>
                <w:rFonts w:ascii="Arial" w:cs="Arial" w:eastAsia="Arial" w:hAnsi="Arial"/>
                <w:b/>
                <w:bCs/>
                <w:color w:val="FFFFFF"/>
                <w:sz w:val="36"/>
                <w:szCs w:val="36"/>
              </w:rPr>
              <w:br/>
              <w:t xml:space="preserve">4</w:t>
            </w:r>
          </w:p>
        </w:tc>
        <w:tc>
          <w:tcPr>
            <w:tcW w:type="dxa" w:w="84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Corte de Produccion (ventana &lt; 5 minutos)</w:t>
            </w:r>
          </w:p>
          <w:p>
            <w:pPr>
              <w:spacing w:before="60"/>
            </w:pPr>
            <w:r>
              <w:rPr>
                <w:rFonts w:ascii="Arial" w:cs="Arial" w:eastAsia="Arial" w:hAnsi="Arial"/>
                <w:sz w:val="20"/>
                <w:szCs w:val="20"/>
              </w:rPr>
              <w:t xml:space="preserve">Detener escrituras en SQL Server, ejecutar sincronizacion final de delta de nuevas filas, cambiar cadena de conexion, validar en vivo y confirmar el corte.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40"/>
              <w:left w:type="dxa" w:w="120"/>
              <w:bottom w:type="dxa" w:w="140"/>
              <w:right w:type="dxa" w:w="120"/>
            </w:tcMar>
            <w:vAlign w:val="center"/>
          </w:tcPr>
          <w:p>
            <w:pPr>
              <w:jc w:val="center"/>
            </w:pPr>
            <w:r>
              <w:rPr>
                <w:rFonts w:ascii="Arial" w:cs="Arial" w:eastAsia="Arial" w:hAnsi="Arial"/>
                <w:color w:val="FFFFFF"/>
                <w:sz w:val="16"/>
                <w:szCs w:val="16"/>
              </w:rPr>
              <w:t xml:space="preserve">FASE</w:t>
            </w:r>
            <w:r>
              <w:rPr>
                <w:rFonts w:ascii="Arial" w:cs="Arial" w:eastAsia="Arial" w:hAnsi="Arial"/>
                <w:b/>
                <w:bCs/>
                <w:color w:val="FFFFFF"/>
                <w:sz w:val="36"/>
                <w:szCs w:val="36"/>
              </w:rPr>
              <w:br/>
              <w:t xml:space="preserve">5</w:t>
            </w:r>
          </w:p>
        </w:tc>
        <w:tc>
          <w:tcPr>
            <w:tcW w:type="dxa" w:w="8460"/>
            <w:tcBorders>
              <w:top w:val="single" w:color="2E75B6" w:sz="1"/>
              <w:left w:val="none" w:color="FFFFFF" w:sz="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Operacion y Estabilizacion (Semana 4+)</w:t>
            </w:r>
          </w:p>
          <w:p>
            <w:pPr>
              <w:spacing w:before="60"/>
            </w:pPr>
            <w:r>
              <w:rPr>
                <w:rFonts w:ascii="Arial" w:cs="Arial" w:eastAsia="Arial" w:hAnsi="Arial"/>
                <w:sz w:val="20"/>
                <w:szCs w:val="20"/>
              </w:rPr>
              <w:t xml:space="preserve">SQL Server queda en modo lectura como respaldo por 2 semanas. Monitoreo activo de PostgreSQL. Activar alertas, ajustar rendimiento y documentar operacion.</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4.1 Fase 1 — Preparacion del Entorno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Paso</w:t>
            </w:r>
          </w:p>
        </w:tc>
        <w:tc>
          <w:tcPr>
            <w:tcW w:type="dxa" w:w="5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Accion</w:t>
            </w:r>
          </w:p>
        </w:tc>
        <w:tc>
          <w:tcPr>
            <w:tcW w:type="dxa" w:w="3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Verificacion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Instalar vc_redist.x64.exe (dependencia PostgreSQL)</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Ejecutar sin errores en Windows Server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Instalar postgresql-17.x-windows-x64.exe con pgAdmin 4</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Servicio postgresql-x64-17 activo en Services.msc</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DATABASE minedax ENCODING UTF8</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current_database(); -&gt; minedax</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Habilitar extensiones: pgcrypto, pgaudit, pg_cron, pg_trgm</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 FROM pg_extension;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Ejecutar minedax_postgresql_ddl.sql (68 tablas)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count(*) FROM information_schema.tables WHERE table_schema IN ('public','sec');</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Configurar pg_hba.conf con rango IP de intranet (192.168.X.0/24)</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Conectar desde equipo remoto en la intranet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Crear usuario de aplicacion con permisos minimos (no superusuario)</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GRANT SELECT, INSERT, UPDATE, DELETE ON ALL TABLES -&gt; OK</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Ajustar shared_buffers, work_mem y effective_cache_size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SHOW shared_buffers; -&gt; valor configurado</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4.2 Fase 2 — Orden de Migracion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Grupo</w:t>
            </w:r>
          </w:p>
        </w:tc>
        <w:tc>
          <w:tcPr>
            <w:tcW w:type="dxa" w:w="5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Tablas incluidas</w:t>
            </w:r>
          </w:p>
        </w:tc>
        <w:tc>
          <w:tcPr>
            <w:tcW w:type="dxa" w:w="2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Razon de prioridad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A: Maestras</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MAE_PAIS, MAE_DEPT, MAE_MUNI, MAE_BANCO, MAE_CARGO, MAE_CCOST, MAE_TPDOC, MAE_TPCTA, MAE_EMPR y demas MAE_*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Son catalogos base sin dependencias hacia otras tablas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B: Terceros</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GN_TERCE, MAE_TERC, GN_USUAR, GN_GUSUA, GN_PERMI</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Referenciados por casi todo el sistema — van antes que GN_</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C: Generales</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GN_FUNCI, GN_GPROV, GN_JURID y subtablas, GN_NATUR y subtablas, GN_SESION, GN_LOG_ACCE, GN_LOG_APP, GN_JEFE_AREA, GN_FECHA, GN_BORRADOR, GN_ADMIN_USR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 de terceros y maestras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D: Nomina</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NO_CONCE, NO_PERIOD, NO_NOVED, NO_AUSEN, NO_FIJAS, NO_OCASI, NO_CAMBI, NO_TIPAUS, NO_TIPCAMB, NO_SOLICITUDES_PEND, FORM_SOLICITUDES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 de GN_ y MAE_</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Paso E: Seguridad</w:t>
            </w:r>
          </w:p>
        </w:tc>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SEC.MAE_ROL, SEC.PERMISOS, SEC.BLOQUEO, SEC.AUDIT_LOG, SEC.HIST_NOMINA</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Registros historicos: van al final para preservar orden cronologico</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4.3 Traduccion de Objetos Programaticos T-SQL -&gt; PL/pgSQL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Objeto SQL Server</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Equivalente PostgreSQL</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Notas de conversion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STORED PROCEDURE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FUNCTION ... RETURNS void / TABLE / tipo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Reemplazar EXEC sp_nombre por SELECT * FROM sp_nombre()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T-SQL DML basico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PL/pgSQL — identico para SELECT, INSERT, UPDATE, DELETE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cambios en la logica de negocio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 AFTER INSERT/UPDATE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TRIGGER ... AFTER INSERT OR UPDATE ... FOR EACH ROW EXECUTE FUNCTION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funcion trigger va separada del trigger en PG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GETDATE()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CURRENT_TIMESTAMP / NOW()</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Equivalentes directos, misma semantica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NEWID()</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gen_random_uuid()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extension pgcrypto (ya incluida en DDL)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ISNULL(a, b)</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COALESCE(a, 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Identico en comportamiento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LIMIT 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 final del SELECT, no al inicio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@@ROWCOUNT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DIAGNOSTICS n = ROW_COUNT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Diferente sintaxis, misma funcion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TRY / CATCH</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 ... EXCEPTION WHEN OTHERS THEN ... END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Manejo de errores equivalente en PL/pgSQL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NVARCHAR(MAX)</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limite de longitud, sin diferencia de rendimiento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TRUE/FALSE/NULL en lugar de 1/0/NULL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IDENTITY(1,1)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ALWAYS AS IDENTITY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Autoincremento nativo, mas robusto que SERIAL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'mensaje'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RAISE NOTICE '%', mensaje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debugging dentro de funciones PL/pgSQL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RAISERROR(msg, 16, 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RAISE EXCEPTION '%', msg</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Lanza excepcion que hace rollback automatico</w:t>
            </w:r>
          </w:p>
        </w:tc>
      </w:tr>
    </w:tbl>
    <w:p>
      <w:pPr>
        <w:spacing w:after="1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5. Entorno Cerrado de Validacion</w:t>
      </w:r>
    </w:p>
    <w:p>
      <w:pPr>
        <w:spacing w:after="100" w:before="60"/>
        <w:jc w:val="both"/>
      </w:pPr>
      <w:r>
        <w:rPr>
          <w:rFonts w:ascii="Arial" w:cs="Arial" w:eastAsia="Arial" w:hAnsi="Arial"/>
          <w:sz w:val="22"/>
          <w:szCs w:val="22"/>
        </w:rPr>
        <w:t xml:space="preserve">Antes del corte de produccion, todo el sistema debe operar de forma completa en un entorno aislado apuntando exclusivamente a PostgreSQL. Este entorno replica produccion en datos y configuracion, pero sin exposicion a usuarios reales.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5.1 Checklist Completo de Validacion</w:t>
      </w:r>
    </w:p>
    <w:p>
      <w:pPr>
        <w:spacing w:after="100" w:before="60"/>
        <w:jc w:val="both"/>
      </w:pPr>
      <w:r>
        <w:rPr>
          <w:rFonts w:ascii="Arial" w:cs="Arial" w:eastAsia="Arial" w:hAnsi="Arial"/>
          <w:sz w:val="22"/>
          <w:szCs w:val="22"/>
        </w:rPr>
        <w:t xml:space="preserve">Todos los items deben estar marcados OK antes de proceder al corte. El equipo tecnico ejecuta cada prueba y firma 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600"/>
        <w:gridCol w:w="3300"/>
        <w:gridCol w:w="1760"/>
      </w:tblGrid>
      <w:tr>
        <w:trPr>
          <w:tblHeader/>
        </w:trPr>
        <w:tc>
          <w:tcPr>
            <w:tcW w:type="dxa" w:w="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Metodo de prueba</w:t>
            </w:r>
          </w:p>
        </w:tc>
        <w:tc>
          <w:tcPr>
            <w:tcW w:type="dxa" w:w="1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Conteos identicos en todas las tablas (68)</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 SQL comparando COUNT(*) en SQL Server vs PostgreSQL por tabla</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de usuarios funciona en PostgreSQL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Probar con minimo 3 usuarios de roles distintos (admin, operador, consulta)</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 de formularios KYC completa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GN_JURID y GN_NATUR: verificar que todos los campos se muestran correctamente</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Subtablas de KYC integras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GN_JURID_AC, BF, CUMP, FIN, FIRMA, JD, OC, PEP, RF, RL: datos completos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Novedades de nomina correctas por periodo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Comparar NO_NOVED entre SQL Server y PostgreSQL para el periodo actual</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Periodos de nomina visibles (historicos e actual)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NO_PERIOD: verificar periodos abiertos (PER_EST='A') y cerrados ('C')</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Historial de auditoria preservado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SEC.HIST_NOMINA: misma cantidad de registros historicos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Politicas RLS de auditoria activas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Intentar DELETE en sec.AUDIT_LOG con usuario de app -&gt; debe fallar</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Permisos por rol funcionan</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SEC.PERMISOS: verificar cada rol puede hacer solo lo que debe</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Stored procedures ejecutan sin error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Probar: sp_IniciarSesionApp, sp_GestionarUsuario, sp_NO_OCASI_Crear</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Vistas retornan datos correctos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VW_ADECCO_NOVEDADES, VW_NO_NOVED_COMPLETA, VW_USUARIOS_ACTIVOS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Triggers de auditoria activos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Modificar un registro en MAE_TERC y verificar registro en SEC.HIST_NOMINA</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FORM_SOLICITUDES y NO_SOLICITUDES_PEND accesibles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Listar formularios activos y solicitudes pendientes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GN_BORRADOR funciona (guardado de formulario)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Guardar un borrador desde el formulario y recuperarlo por token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Rendimiento aceptable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Consultas frecuentes: tiempo &lt; 2x respecto a SQL Server en condiciones iguales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Cifrado SSL activo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que la conexion usa SSL: SELECT ssl FROM pg_stat_ssl</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5.2 Script de Comparacion de Conteos</w:t>
      </w:r>
    </w:p>
    <w:p>
      <w:pPr>
        <w:spacing w:after="100" w:before="60"/>
        <w:jc w:val="both"/>
      </w:pPr>
      <w:r>
        <w:rPr>
          <w:rFonts w:ascii="Arial" w:cs="Arial" w:eastAsia="Arial" w:hAnsi="Arial"/>
          <w:sz w:val="22"/>
          <w:szCs w:val="22"/>
        </w:rPr>
        <w:t xml:space="preserve">Ejecutar en paralelo en ambos motores y comparar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En SQL Server (origen):</w:t>
            </w:r>
          </w:p>
          <w:p>
            <w:r>
              <w:rPr>
                <w:rFonts w:ascii="Courier New" w:cs="Courier New" w:eastAsia="Courier New" w:hAnsi="Courier New"/>
                <w:color w:val="4EC9B0"/>
                <w:sz w:val="18"/>
                <w:szCs w:val="18"/>
              </w:rPr>
              <w:t xml:space="preserve">SELECT TABLE_NAME, TABLE_ROWS FROM INFORMATION_SCHEMA.TABLES WHERE TABLE_TYPE='BASE TABLE' ORDER BY TABLE_NAME;</w:t>
            </w:r>
          </w:p>
          <w:p>
            <w:r>
              <w:rPr>
                <w:rFonts w:ascii="Courier New" w:cs="Courier New" w:eastAsia="Courier New" w:hAnsi="Courier New"/>
                <w:color w:val="4EC9B0"/>
                <w:sz w:val="18"/>
                <w:szCs w:val="18"/>
              </w:rPr>
              <w:t xml:space="preserve"/>
            </w:r>
          </w:p>
          <w:p>
            <w:r>
              <w:rPr>
                <w:rFonts w:ascii="Courier New" w:cs="Courier New" w:eastAsia="Courier New" w:hAnsi="Courier New"/>
                <w:color w:val="6A9955"/>
                <w:sz w:val="18"/>
                <w:szCs w:val="18"/>
              </w:rPr>
              <w:t xml:space="preserve">-- En PostgreSQL (destino):</w:t>
            </w:r>
          </w:p>
          <w:p>
            <w:r>
              <w:rPr>
                <w:rFonts w:ascii="Courier New" w:cs="Courier New" w:eastAsia="Courier New" w:hAnsi="Courier New"/>
                <w:color w:val="4EC9B0"/>
                <w:sz w:val="18"/>
                <w:szCs w:val="18"/>
              </w:rPr>
              <w:t xml:space="preserve">SELECT schemaname, tablename, n_live_tup AS filas FROM pg_stat_user_tables ORDER BY schemaname, tablename;</w:t>
            </w:r>
          </w:p>
        </w:tc>
      </w:tr>
    </w:tbl>
    <w:p>
      <w:pPr>
        <w:spacing w:after="1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6. Plan de Rollback</w:t>
      </w:r>
    </w:p>
    <w:p>
      <w:pPr>
        <w:spacing w:after="100" w:before="60"/>
        <w:jc w:val="both"/>
      </w:pPr>
      <w:r>
        <w:rPr>
          <w:rFonts w:ascii="Arial" w:cs="Arial" w:eastAsia="Arial" w:hAnsi="Arial"/>
          <w:sz w:val="22"/>
          <w:szCs w:val="22"/>
        </w:rPr>
        <w:t xml:space="preserve">SQL Server Express permanece activo y en estado read-only hasta 2 semanas despues del corte exitoso. En cualquier momento durante ese periodo, el rollback es un proceso de 5 minutos.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GARANTIA DE ROLLBACK</w:t>
            </w:r>
          </w:p>
        </w:tc>
        <w:tc>
          <w:tcPr>
            <w:tcW w:type="dxa" w:w="8160"/>
            <w:tcBorders>
              <w:top w:val="single" w:color="C55A11" w:sz="1"/>
              <w:left w:val="none" w:color="FFFFFF" w:sz="0"/>
              <w:bottom w:val="single" w:color="C55A11" w:sz="1"/>
              <w:right w:val="single" w:color="C55A11" w:sz="1"/>
            </w:tcBorders>
            <w:shd w:fill="F0F7FF" w:val="clear"/>
            <w:tcMar>
              <w:top w:type="dxa" w:w="100"/>
              <w:left w:type="dxa" w:w="160"/>
              <w:bottom w:type="dxa" w:w="100"/>
              <w:right w:type="dxa" w:w="160"/>
            </w:tcMar>
          </w:tcPr>
          <w:p>
            <w:r>
              <w:rPr>
                <w:rFonts w:ascii="Arial" w:cs="Arial" w:eastAsia="Arial" w:hAnsi="Arial"/>
                <w:sz w:val="20"/>
                <w:szCs w:val="20"/>
              </w:rPr>
              <w:t xml:space="preserve">SQL Server se mantiene como respaldo en caliente durante 2 semanas post-corte. Volver a SQL Server implica unicamente revertir la cadena de conexion al valor original.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Escenario</w:t>
            </w:r>
          </w:p>
        </w:tc>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Accion de rollback</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Tiempo estimado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durante Fase 2 (migracion datos)</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 toca produccion. Continuar en SQL Server normalmente.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minutos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durante Fase 3 (entorno cerrado)</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El entorno cerrado es independiente. Produccion intacta.</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minutos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en primeras 48h post-corte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Revertir cadena de conexion al archivo config original.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minutos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en semana 1-2 post-corte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Revertir cadena de conexion + sincronizar delta de vuelta con script.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15-30 minutos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Despues de 2 semanas</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SQL Server puede apagarse. Rollback ya no disponible.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 — decision definitiva</w:t>
            </w:r>
          </w:p>
        </w:tc>
      </w:tr>
    </w:tbl>
    <w:p>
      <w:pPr>
        <w:spacing w:after="160" w:before="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7. Sugerencias de Estabilidad Post-Migracion</w:t>
      </w:r>
    </w:p>
    <w:p>
      <w:pPr>
        <w:pStyle w:val="Heading2"/>
        <w:spacing w:after="120" w:before="280"/>
      </w:pPr>
      <w:r>
        <w:rPr>
          <w:rFonts w:ascii="Arial" w:cs="Arial" w:eastAsia="Arial" w:hAnsi="Arial"/>
          <w:b/>
          <w:bCs/>
          <w:color w:val="2E75B6"/>
          <w:sz w:val="26"/>
          <w:szCs w:val="26"/>
        </w:rPr>
        <w:t xml:space="preserve">7.1 Auditoria a Nivel de Motor con pgaudit</w:t>
      </w:r>
    </w:p>
    <w:p>
      <w:pPr>
        <w:spacing w:after="100" w:before="60"/>
        <w:jc w:val="both"/>
      </w:pPr>
      <w:r>
        <w:rPr>
          <w:rFonts w:ascii="Arial" w:cs="Arial" w:eastAsia="Arial" w:hAnsi="Arial"/>
          <w:sz w:val="22"/>
          <w:szCs w:val="22"/>
        </w:rPr>
        <w:t xml:space="preserve">A diferencia de SQL Server donde los triggers pueden ser desactivados por un DBA, pgaudit registra operaciones a nivel de motor: incluso un superusuario queda en el log. Configurar en postgresql.conf: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4EC9B0"/>
                <w:sz w:val="18"/>
                <w:szCs w:val="18"/>
              </w:rPr>
              <w:t xml:space="preserve">shared_preload_libraries = 'pgaudit'</w:t>
            </w:r>
          </w:p>
          <w:p>
            <w:r>
              <w:rPr>
                <w:rFonts w:ascii="Courier New" w:cs="Courier New" w:eastAsia="Courier New" w:hAnsi="Courier New"/>
                <w:color w:val="4EC9B0"/>
                <w:sz w:val="18"/>
                <w:szCs w:val="18"/>
              </w:rPr>
              <w:t xml:space="preserve">pgaudit.log = 'write, ddl'  -- registra INSERT, UPDATE, DELETE, CREATE, ALTER, DROP</w:t>
            </w:r>
          </w:p>
          <w:p>
            <w:r>
              <w:rPr>
                <w:rFonts w:ascii="Courier New" w:cs="Courier New" w:eastAsia="Courier New" w:hAnsi="Courier New"/>
                <w:color w:val="4EC9B0"/>
                <w:sz w:val="18"/>
                <w:szCs w:val="18"/>
              </w:rPr>
              <w:t xml:space="preserve">pgaudit.log_relation = on   -- incluye nombre de tabla en cada entrada de log</w:t>
            </w:r>
          </w:p>
          <w:p>
            <w:r>
              <w:rPr>
                <w:rFonts w:ascii="Courier New" w:cs="Courier New" w:eastAsia="Courier New" w:hAnsi="Courier New"/>
                <w:color w:val="4EC9B0"/>
                <w:sz w:val="18"/>
                <w:szCs w:val="18"/>
              </w:rPr>
              <w:t xml:space="preserve">pgaudit.log_parameter = on  -- incluye valores de parametros</w:t>
            </w:r>
          </w:p>
          <w:p>
            <w:r>
              <w:rPr>
                <w:rFonts w:ascii="Courier New" w:cs="Courier New" w:eastAsia="Courier New" w:hAnsi="Courier New"/>
                <w:color w:val="4EC9B0"/>
                <w:sz w:val="18"/>
                <w:szCs w:val="18"/>
              </w:rPr>
              <w:t xml:space="preserve">log_connections = on        -- registra cada nueva conexion</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7.2 Backups Automaticos con pg_cron</w:t>
      </w:r>
    </w:p>
    <w:p>
      <w:pPr>
        <w:spacing w:after="100" w:before="60"/>
        <w:jc w:val="both"/>
      </w:pPr>
      <w:r>
        <w:rPr>
          <w:rFonts w:ascii="Arial" w:cs="Arial" w:eastAsia="Arial" w:hAnsi="Arial"/>
          <w:sz w:val="22"/>
          <w:szCs w:val="22"/>
        </w:rPr>
        <w:t xml:space="preserve">Reemplaza la ausencia de SQL Server Agent (no disponible en Express) con jobs nativos de PostgreSQL. No requiere software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Backup diario a las 2:00 AM</w:t>
            </w:r>
          </w:p>
          <w:p>
            <w:r>
              <w:rPr>
                <w:rFonts w:ascii="Courier New" w:cs="Courier New" w:eastAsia="Courier New" w:hAnsi="Courier New"/>
                <w:color w:val="4EC9B0"/>
                <w:sz w:val="18"/>
                <w:szCs w:val="18"/>
              </w:rPr>
              <w:t xml:space="preserve">SELECT cron.schedule('backup-diario', '0 2 * * *', $$SELECT pg_dump('minedax')$$);</w:t>
            </w:r>
          </w:p>
          <w:p>
            <w:r>
              <w:rPr>
                <w:rFonts w:ascii="Courier New" w:cs="Courier New" w:eastAsia="Courier New" w:hAnsi="Courier New"/>
                <w:color w:val="4EC9B0"/>
                <w:sz w:val="18"/>
                <w:szCs w:val="18"/>
              </w:rPr>
              <w:t xml:space="preserve"/>
            </w:r>
          </w:p>
          <w:p>
            <w:r>
              <w:rPr>
                <w:rFonts w:ascii="Courier New" w:cs="Courier New" w:eastAsia="Courier New" w:hAnsi="Courier New"/>
                <w:color w:val="6A9955"/>
                <w:sz w:val="18"/>
                <w:szCs w:val="18"/>
              </w:rPr>
              <w:t xml:space="preserve">-- Limpieza de sesiones expiradas cada hora</w:t>
            </w:r>
          </w:p>
          <w:p>
            <w:r>
              <w:rPr>
                <w:rFonts w:ascii="Courier New" w:cs="Courier New" w:eastAsia="Courier New" w:hAnsi="Courier New"/>
                <w:color w:val="4EC9B0"/>
                <w:sz w:val="18"/>
                <w:szCs w:val="18"/>
              </w:rPr>
              <w:t xml:space="preserve">SELECT cron.schedule('limpiar-sesiones', '0 * * * *',</w:t>
            </w:r>
          </w:p>
          <w:p>
            <w:r>
              <w:rPr>
                <w:rFonts w:ascii="Courier New" w:cs="Courier New" w:eastAsia="Courier New" w:hAnsi="Courier New"/>
                <w:color w:val="4EC9B0"/>
                <w:sz w:val="18"/>
                <w:szCs w:val="18"/>
              </w:rPr>
              <w:t xml:space="preserve">  $$DELETE FROM public."GN_SESION" WHERE "FEC_VENC" &lt; NOW()$$);</w:t>
            </w:r>
          </w:p>
          <w:p>
            <w:r>
              <w:rPr>
                <w:rFonts w:ascii="Courier New" w:cs="Courier New" w:eastAsia="Courier New" w:hAnsi="Courier New"/>
                <w:color w:val="4EC9B0"/>
                <w:sz w:val="18"/>
                <w:szCs w:val="18"/>
              </w:rPr>
              <w:t xml:space="preserve"/>
            </w:r>
          </w:p>
          <w:p>
            <w:r>
              <w:rPr>
                <w:rFonts w:ascii="Courier New" w:cs="Courier New" w:eastAsia="Courier New" w:hAnsi="Courier New"/>
                <w:color w:val="6A9955"/>
                <w:sz w:val="18"/>
                <w:szCs w:val="18"/>
              </w:rPr>
              <w:t xml:space="preserve">-- Actualizacion de estadisticas para el planificador cada domingo</w:t>
            </w:r>
          </w:p>
          <w:p>
            <w:r>
              <w:rPr>
                <w:rFonts w:ascii="Courier New" w:cs="Courier New" w:eastAsia="Courier New" w:hAnsi="Courier New"/>
                <w:color w:val="4EC9B0"/>
                <w:sz w:val="18"/>
                <w:szCs w:val="18"/>
              </w:rPr>
              <w:t xml:space="preserve">SELECT cron.schedule('vacuum-analyze', '0 3 * * 0', $$VACUUM ANALYZE$$);</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7.3 Cifrado en Transito (SSL para intranet)</w:t>
      </w:r>
    </w:p>
    <w:p>
      <w:pPr>
        <w:spacing w:after="100" w:before="60"/>
        <w:jc w:val="both"/>
      </w:pPr>
      <w:r>
        <w:rPr>
          <w:rFonts w:ascii="Arial" w:cs="Arial" w:eastAsia="Arial" w:hAnsi="Arial"/>
          <w:sz w:val="22"/>
          <w:szCs w:val="22"/>
        </w:rPr>
        <w:t xml:space="preserve">El servidor actual tiene cifrado deshabilitado. PostgreSQL permite SSL con certificado autofirmado, adecuado para redes internas:</w:t>
      </w:r>
    </w:p>
    <w:p>
      <w:pPr>
        <w:pStyle w:val="ListParagraph"/>
        <w:numPr>
          <w:ilvl w:val="0"/>
          <w:numId w:val="2"/>
        </w:numPr>
        <w:spacing w:after="60" w:before="40"/>
      </w:pPr>
      <w:r>
        <w:rPr>
          <w:rFonts w:ascii="Arial" w:cs="Arial" w:eastAsia="Arial" w:hAnsi="Arial"/>
          <w:sz w:val="22"/>
          <w:szCs w:val="22"/>
        </w:rPr>
        <w:t xml:space="preserve">Generar certificado: openssl req -new -x509 -days 3650 -nodes -out server.crt -keyout server.key</w:t>
      </w:r>
    </w:p>
    <w:p>
      <w:pPr>
        <w:pStyle w:val="ListParagraph"/>
        <w:numPr>
          <w:ilvl w:val="0"/>
          <w:numId w:val="2"/>
        </w:numPr>
        <w:spacing w:after="60" w:before="40"/>
      </w:pPr>
      <w:r>
        <w:rPr>
          <w:rFonts w:ascii="Arial" w:cs="Arial" w:eastAsia="Arial" w:hAnsi="Arial"/>
          <w:sz w:val="22"/>
          <w:szCs w:val="22"/>
        </w:rPr>
        <w:t xml:space="preserve">Copiar server.crt y server.key al directorio data de PostgreSQL (C:\PostgreSQL\17\data\)</w:t>
      </w:r>
    </w:p>
    <w:p>
      <w:pPr>
        <w:pStyle w:val="ListParagraph"/>
        <w:numPr>
          <w:ilvl w:val="0"/>
          <w:numId w:val="2"/>
        </w:numPr>
        <w:spacing w:after="60" w:before="40"/>
      </w:pPr>
      <w:r>
        <w:rPr>
          <w:rFonts w:ascii="Arial" w:cs="Arial" w:eastAsia="Arial" w:hAnsi="Arial"/>
          <w:sz w:val="22"/>
          <w:szCs w:val="22"/>
        </w:rPr>
        <w:t xml:space="preserve">En postgresql.conf establecer: ssl = on</w:t>
      </w:r>
    </w:p>
    <w:p>
      <w:pPr>
        <w:pStyle w:val="ListParagraph"/>
        <w:numPr>
          <w:ilvl w:val="0"/>
          <w:numId w:val="2"/>
        </w:numPr>
        <w:spacing w:after="60" w:before="40"/>
      </w:pPr>
      <w:r>
        <w:rPr>
          <w:rFonts w:ascii="Arial" w:cs="Arial" w:eastAsia="Arial" w:hAnsi="Arial"/>
          <w:sz w:val="22"/>
          <w:szCs w:val="22"/>
        </w:rPr>
        <w:t xml:space="preserve">En pg_hba.conf cambiar host por hostssl para forzar conexiones cifradas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7.4 Configuracion de Rendimiento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Parametro postgresql.conf</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 recomendado (8-16 GB RAM)</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Proposito</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shared_buffers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2GB (25% de RAM total)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de paginas de datos en memoria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work_mem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64MB</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Memoria por operacion de ordenamiento y hash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maintenance_work_mem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512MB</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Para VACUUM, creacion de indices y CLUSTER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effective_cache_size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6GB (75% de RAM total)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Estimacion del cache del SO para el planificador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max_connections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Conexiones simultaneas maximas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wal_compression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Reduccion de espacio en transaction logs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checkpoint_completion_target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0.9</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Distribucion de escrituras de checkpoint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random_page_cost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1.1 (SSD) / 4.0 (HDD)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Costo estimado de lectura de pagina aleatoria</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7.5 Tablas de Auditoria Inmutables con Row-Level Security</w:t>
      </w:r>
    </w:p>
    <w:p>
      <w:pPr>
        <w:spacing w:after="100" w:before="60"/>
        <w:jc w:val="both"/>
      </w:pPr>
      <w:r>
        <w:rPr>
          <w:rFonts w:ascii="Arial" w:cs="Arial" w:eastAsia="Arial" w:hAnsi="Arial"/>
          <w:sz w:val="22"/>
          <w:szCs w:val="22"/>
        </w:rPr>
        <w:t xml:space="preserve">Las tablas SEC.AUDIT_LOG y SEC.HIST_NOMINA ya tienen politicas RLS definidas en el DDL generado. Esto garantiza que ningun usuario de la aplicacion pueda borrar ni modificar registros de auditoria, ni siquiera accidentalmente: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Ya incluido en minedax_postgresql_ddl.sql:</w:t>
            </w:r>
          </w:p>
          <w:p>
            <w:r>
              <w:rPr>
                <w:rFonts w:ascii="Courier New" w:cs="Courier New" w:eastAsia="Courier New" w:hAnsi="Courier New"/>
                <w:color w:val="4EC9B0"/>
                <w:sz w:val="18"/>
                <w:szCs w:val="18"/>
              </w:rPr>
              <w:t xml:space="preserve">ALTER TABLE sec."AUDIT_LOG" ENABLE ROW LEVEL SECURITY;</w:t>
            </w:r>
          </w:p>
          <w:p>
            <w:r>
              <w:rPr>
                <w:rFonts w:ascii="Courier New" w:cs="Courier New" w:eastAsia="Courier New" w:hAnsi="Courier New"/>
                <w:color w:val="4EC9B0"/>
                <w:sz w:val="18"/>
                <w:szCs w:val="18"/>
              </w:rPr>
              <w:t xml:space="preserve">CREATE POLICY audit_no_delete ON sec."AUDIT_LOG" FOR DELETE USING (false);</w:t>
            </w:r>
          </w:p>
          <w:p>
            <w:r>
              <w:rPr>
                <w:rFonts w:ascii="Courier New" w:cs="Courier New" w:eastAsia="Courier New" w:hAnsi="Courier New"/>
                <w:color w:val="4EC9B0"/>
                <w:sz w:val="18"/>
                <w:szCs w:val="18"/>
              </w:rPr>
              <w:t xml:space="preserve">CREATE POLICY audit_no_update ON sec."AUDIT_LOG" FOR UPDATE USING (false);</w:t>
            </w:r>
          </w:p>
        </w:tc>
      </w:tr>
    </w:tbl>
    <w:p>
      <w:pPr>
        <w:spacing w:after="1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8. Sugerencias de Usabilidad del Formulario</w:t>
      </w:r>
    </w:p>
    <w:p>
      <w:pPr>
        <w:spacing w:after="100" w:before="60"/>
        <w:jc w:val="both"/>
      </w:pPr>
      <w:r>
        <w:rPr>
          <w:rFonts w:ascii="Arial" w:cs="Arial" w:eastAsia="Arial" w:hAnsi="Arial"/>
          <w:sz w:val="22"/>
          <w:szCs w:val="22"/>
        </w:rPr>
        <w:t xml:space="preserve">A partir del analisis estructural de la base de datos se identifican oportunidades de mejora en el diseno del formulario. Estas mejoras son implementables durante la transicion sin alterar el esquema de datos — solo requieren cambios en la capa de presentacion.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8.1 Estructura y Flujo — Formulario en Pasos Progresivos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HALLAZGO</w:t>
            </w:r>
          </w:p>
        </w:tc>
        <w:tc>
          <w:tcPr>
            <w:tcW w:type="dxa" w:w="8160"/>
            <w:tcBorders>
              <w:top w:val="single" w:color="2E75B6" w:sz="1"/>
              <w:left w:val="none" w:color="FFFFFF" w:sz="0"/>
              <w:bottom w:val="single" w:color="2E75B6" w:sz="1"/>
              <w:right w:val="single" w:color="2E75B6" w:sz="1"/>
            </w:tcBorders>
            <w:shd w:fill="F0F7FF" w:val="clear"/>
            <w:tcMar>
              <w:top w:type="dxa" w:w="100"/>
              <w:left w:type="dxa" w:w="160"/>
              <w:bottom w:type="dxa" w:w="100"/>
              <w:right w:type="dxa" w:w="160"/>
            </w:tcMar>
          </w:tcPr>
          <w:p>
            <w:r>
              <w:rPr>
                <w:rFonts w:ascii="Arial" w:cs="Arial" w:eastAsia="Arial" w:hAnsi="Arial"/>
                <w:sz w:val="20"/>
                <w:szCs w:val="20"/>
              </w:rPr>
              <w:t xml:space="preserve">Las tablas GN_JURID_* y GN_NATUR_* tienen entre 15 y 30 columnas por subtabla, y hay 11 subtablas para personas juridicas. Esto sugiere que el formulario actual presenta demasiados campos al mismo tiempo, generando carga cognitiva alta para el usuario.</w:t>
            </w:r>
          </w:p>
        </w:tc>
      </w:tr>
    </w:tbl>
    <w:p>
      <w:pPr>
        <w:spacing w:after="80" w:before="0"/>
      </w:pPr>
      <w:r>
        <w:t xml:space="preserve"/>
      </w:r>
    </w:p>
    <w:p>
      <w:pPr>
        <w:spacing w:after="100" w:before="60"/>
        <w:jc w:val="both"/>
      </w:pPr>
      <w:r>
        <w:rPr>
          <w:rFonts w:ascii="Arial" w:cs="Arial" w:eastAsia="Arial" w:hAnsi="Arial"/>
          <w:sz w:val="22"/>
          <w:szCs w:val="22"/>
        </w:rPr>
        <w:t xml:space="preserve">Recomendacion: dividir el formulario en un asistente de pasos (wizard) progresivo:</w:t>
      </w:r>
    </w:p>
    <w:p>
      <w:pPr>
        <w:pStyle w:val="ListParagraph"/>
        <w:numPr>
          <w:ilvl w:val="0"/>
          <w:numId w:val="3"/>
        </w:numPr>
        <w:spacing w:after="60" w:before="40"/>
      </w:pPr>
      <w:r>
        <w:rPr>
          <w:rFonts w:ascii="Arial" w:cs="Arial" w:eastAsia="Arial" w:hAnsi="Arial"/>
          <w:sz w:val="22"/>
          <w:szCs w:val="22"/>
        </w:rPr>
        <w:t xml:space="preserve">Paso 1 — Identificacion: tipo de tercero (natural/juridico), numero de identificacion, nombre. Maximo 4 campos.</w:t>
      </w:r>
    </w:p>
    <w:p>
      <w:pPr>
        <w:pStyle w:val="ListParagraph"/>
        <w:numPr>
          <w:ilvl w:val="0"/>
          <w:numId w:val="3"/>
        </w:numPr>
        <w:spacing w:after="60" w:before="40"/>
      </w:pPr>
      <w:r>
        <w:rPr>
          <w:rFonts w:ascii="Arial" w:cs="Arial" w:eastAsia="Arial" w:hAnsi="Arial"/>
          <w:sz w:val="22"/>
          <w:szCs w:val="22"/>
        </w:rPr>
        <w:t xml:space="preserve">Paso 2 — Datos de contacto: direccion, ciudad (con dropdown en cascada pais-depto-municipio), telefono, correo.</w:t>
      </w:r>
    </w:p>
    <w:p>
      <w:pPr>
        <w:pStyle w:val="ListParagraph"/>
        <w:numPr>
          <w:ilvl w:val="0"/>
          <w:numId w:val="3"/>
        </w:numPr>
        <w:spacing w:after="60" w:before="40"/>
      </w:pPr>
      <w:r>
        <w:rPr>
          <w:rFonts w:ascii="Arial" w:cs="Arial" w:eastAsia="Arial" w:hAnsi="Arial"/>
          <w:sz w:val="22"/>
          <w:szCs w:val="22"/>
        </w:rPr>
        <w:t xml:space="preserve">Paso 3 — Informacion financiera: datos bancarios (GN_TERCE_BANCO), regimen tributario, vinculos comerciales.</w:t>
      </w:r>
    </w:p>
    <w:p>
      <w:pPr>
        <w:pStyle w:val="ListParagraph"/>
        <w:numPr>
          <w:ilvl w:val="0"/>
          <w:numId w:val="3"/>
        </w:numPr>
        <w:spacing w:after="60" w:before="40"/>
      </w:pPr>
      <w:r>
        <w:rPr>
          <w:rFonts w:ascii="Arial" w:cs="Arial" w:eastAsia="Arial" w:hAnsi="Arial"/>
          <w:sz w:val="22"/>
          <w:szCs w:val="22"/>
        </w:rPr>
        <w:t xml:space="preserve">Paso 4 — Documentos requeridos: lista de documentos por tipo de tercero (MAE_TPDOC) con semaforo de completitud.</w:t>
      </w:r>
    </w:p>
    <w:p>
      <w:pPr>
        <w:pStyle w:val="ListParagraph"/>
        <w:numPr>
          <w:ilvl w:val="0"/>
          <w:numId w:val="3"/>
        </w:numPr>
        <w:spacing w:after="60" w:before="40"/>
      </w:pPr>
      <w:r>
        <w:rPr>
          <w:rFonts w:ascii="Arial" w:cs="Arial" w:eastAsia="Arial" w:hAnsi="Arial"/>
          <w:sz w:val="22"/>
          <w:szCs w:val="22"/>
        </w:rPr>
        <w:t xml:space="preserve">Paso 5 — Revision y envio: resumen de todos los datos antes de confirmar. Permite corregir cualquier paso anterior.</w:t>
      </w:r>
    </w:p>
    <w:p>
      <w:pPr>
        <w:spacing w:after="80" w:before="0"/>
      </w:pPr>
      <w:r>
        <w:t xml:space="preserve"/>
      </w:r>
    </w:p>
    <w:p>
      <w:pPr>
        <w:pStyle w:val="Heading3"/>
        <w:spacing w:after="80" w:before="200"/>
      </w:pPr>
      <w:r>
        <w:rPr>
          <w:rFonts w:ascii="Arial" w:cs="Arial" w:eastAsia="Arial" w:hAnsi="Arial"/>
          <w:b/>
          <w:bCs/>
          <w:color w:val="595959"/>
          <w:sz w:val="22"/>
          <w:szCs w:val="22"/>
        </w:rPr>
        <w:t xml:space="preserve">Guardado automatico de borrador (GN_BORRADOR ya existe en la BD)</w:t>
      </w:r>
    </w:p>
    <w:p>
      <w:pPr>
        <w:spacing w:after="100" w:before="60"/>
        <w:jc w:val="both"/>
      </w:pPr>
      <w:r>
        <w:rPr>
          <w:rFonts w:ascii="Arial" w:cs="Arial" w:eastAsia="Arial" w:hAnsi="Arial"/>
          <w:sz w:val="22"/>
          <w:szCs w:val="22"/>
        </w:rPr>
        <w:t xml:space="preserve">La tabla GN_BORRADOR almacena DATOS_JSON con TOKEN_DRAFT y FEC_VENC. El formulario deberia mostrar un indicador visible de "Guardado automaticamente" y permitir retomar el proceso desde cualquier equipo en la intranet usando el mismo token.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8.2 Mejoras Visuales y de Experiencia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Area del formulario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Situacion actual detectada</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Mejora recomendada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Campos de fecha</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Columnas con formatos mixtos: datetime, nchar(10) para fechas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 picker unificado con formato DD/MM/YYYY. Normalizar a DATE en PostgreSQL.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Listas de pais/depto/municipio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MAE_PAIS, MAE_DEPT, MAE_MUNI son tablas separadas sin cascada visible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Dropdowns en cascada: seleccionar pais filtra departamentos, que filtran municipios. Usa GN_FECHA como referencia de construccion.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Campos de telefono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M_TEL1, NRO_CELU mezclan char y nvarchar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Input type=tel con mascara: +57 (3XX) XXX-XXXX. Validar con regex en PostgreSQL: CHECK (nro ~ '^[0-9]{10}$').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Indicadores de estado</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ACT_ESTA = A/I/P en todas las tablas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Mostrar badges de color: A=Verde "Activo", I=Gris "Inactivo", P=Naranja "Pendiente", R=Rojo "Rechazado".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Seccion PEP</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GN_JURID_PEP y GN_NATUR_PEP son subtablas separadas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Destacar visualmente con alerta cuando el tercero es Persona Expuesta Politicamente. Banner de advertencia y campo obligatorio de justificacion.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Validacion en tiempo real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CHECK constraints validan en BD pero el error llega tarde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Replicar las validaciones en el frontend con mensajes inmediatos bajo cada campo, sin necesidad de enviar el formulario.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Firma digital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GN_JURID_FIRMA tiene 16 columnas de datos de firma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Integrar pad de firma digital (canvas HTML5) o subida de imagen escaneada con validacion de tamano y formato.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Documentos adjuntos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GN_TERCE_DOC referencia documentos por tipo de MAE_TPDOC</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Mostrar checklist visual de documentos requeridos segun tipo de tercero, con indicador de "falta X de Y documentos".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Busqueda de terceros existentes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Puede haber duplicados por errores tipograficos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Usar pg_trgm para busqueda fuzzy: al ingresar NIT o nombre, sugerir coincidencias similares antes de crear un nuevo tercero.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Historial de cambios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SEC.HIST_NOMINA y NOMINA.v_HistorialCambios ya existen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Mostrar en el formulario un panel de historial de cambios por registro: quien cambio que, cuando y desde que IP.</w:t>
            </w:r>
          </w:p>
        </w:tc>
      </w:tr>
    </w:tbl>
    <w:p>
      <w:pPr>
        <w:spacing w:after="80" w:before="0"/>
      </w:pPr>
      <w:r>
        <w:t xml:space="preserve"/>
      </w:r>
    </w:p>
    <w:p>
      <w:pPr>
        <w:pStyle w:val="Heading2"/>
        <w:spacing w:after="120" w:before="280"/>
      </w:pPr>
      <w:r>
        <w:rPr>
          <w:rFonts w:ascii="Arial" w:cs="Arial" w:eastAsia="Arial" w:hAnsi="Arial"/>
          <w:b/>
          <w:bCs/>
          <w:color w:val="2E75B6"/>
          <w:sz w:val="26"/>
          <w:szCs w:val="26"/>
        </w:rPr>
        <w:t xml:space="preserve">8.3 Capacidades de PostgreSQL Aprovechables para 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Capacidad de PostgreSQL</w:t>
            </w:r>
          </w:p>
        </w:tc>
        <w:tc>
          <w:tcPr>
            <w:tcW w:type="dxa" w:w="5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Aplicacion practica en el formulario</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JSONB para GN_BORRADOR.DATOS_JSON</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Validar y consultar campos especificos dentro del borrador guardado sin deserializar el objeto completo</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pg_trgm — busqueda fuzzy</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Sugerir terceros similares al escribir un nombre: "Colective Mining" encuentra "Collective Mining"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UNACCENT extension</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Busqueda sin tildes: "GARCIA" = "GARCIA". Critico para busqueda de nombres en Colombia.</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Full-text search (tsvector/tsquery)</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Busqueda rapida en campos de texto libre: observaciones, descripcion de actividad economica CIIU</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con expresion regular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Validar formato de NIT: CHECK (cod_nit ~ '^[0-9]{9}-[0-9]$'), cedula: CHECK (m_ced ~ '^[0-9]{6,10}$')</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ALWAYS AS (expresion)</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Calcular el digito de verificacion del NIT automaticamente, sin trigger ni codigo de aplicacion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Columnas computadas con indices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Crear indice sobre LOWER(nom_comp) para busquedas insensibles a mayusculas sin modificar los datos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Particionamiento de AUDIT_LOG</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Partir la auditoria por mes: consultas del mes actual son 10-100x mas rapidas que sobre la tabla completa</w:t>
            </w:r>
          </w:p>
        </w:tc>
      </w:tr>
    </w:tbl>
    <w:p>
      <w:pPr>
        <w:spacing w:after="16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9. 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Termino</w:t>
            </w:r>
          </w:p>
        </w:tc>
        <w:tc>
          <w:tcPr>
            <w:tcW w:type="dxa" w:w="6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Definicion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Blue-Green Deployment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Estrategia de migracion que mantiene dos entornos identicos (azul=actual, verde=nuevo) y conmuta el trafico entre ellos en un momento controlado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Cadena de conexion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Cadena de texto con parametros (host, puerto, usuario, contrasena, BD) que la aplicacion usa para conectarse a la base de datos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PL/pgSQL</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Lenguaje procedural de PostgreSQL equivalente a T-SQL de SQL Server. Permite escribir funciones, triggers y logica compleja.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pg_cron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Extension de PostgreSQL para programar tareas periodicas. Equivalente a SQL Server Agent, no disponible en Express Edition.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pgaudit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Extension de PostgreSQL para auditoria a nivel de motor de base de datos. Registra incluso operaciones de superusuario.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pg_trgm</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Extension de PostgreSQL para busqueda por similitud de texto (fuzzy matching). Util para encontrar duplicados y errores tipograficos.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JSONB</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Tipo de dato JSON binario de PostgreSQL con indexacion y busqueda nativa. Mas eficiente que JSON para consultas frecuentes.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RLS (Row-Level Security)</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Seguridad a nivel de fila: restricciones de acceso sobre filas individuales segun el usuario o rol que ejecuta la consulta.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GN_BORRADOR</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Tabla de MineDax que almacena formularios en proceso como JSON temporal con token de sesion y fecha de vencimiento.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KYC (Know Your Customer)</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Proceso de verificacion de identidad de clientes. En MineDax implementado en las tablas GN_JURID_* (personas juridicas) y GN_NATUR_* (personas naturales).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Dry-run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Modo de ejecucion del script de migracion que cuenta filas y valida la conexion sin insertar datos en el destino.</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sync</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Sincronizacion de los registros nuevos o modificados en SQL Server durante el periodo de validacion, aplicados a PostgreSQL antes del corte definitivo.</w:t>
            </w:r>
          </w:p>
        </w:tc>
      </w:tr>
    </w:tbl>
    <w:p>
      <w:pPr>
        <w:spacing w:after="160" w:before="0"/>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10. 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Proyecto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Migracion MineDax — SQL Server 2025 Express -&gt; PostgreSQL 17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Elaborado por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Equipo de Tecnologia — Collective Mining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 de elaboracion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Junio 2026</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 — Para revision y aprobacion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origen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CM-ITD-P-05\SQLEXPRESS — MineDax — SQL Server 2025 Express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destino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intranet corporativa — PostgreSQL 17 — Windows Server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Archivos relacionados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minedax_postgresql_ddl.sql — minedax_migration_script.py — minedax_guia_migracion_postgresql.md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Proxima revision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 completar Fase 3 (validacion en entorno cerrado)</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i/>
        <w:iCs/>
        <w:color w:val="595959"/>
        <w:sz w:val="16"/>
        <w:szCs w:val="16"/>
      </w:rPr>
      <w:t xml:space="preserve">Confidencial — Uso Interno</w:t>
    </w:r>
    <w:r>
      <w:rPr>
        <w:sz w:val="16"/>
        <w:szCs w:val="16"/>
      </w:rPr>
      <w:t xml:space="preserve">	</w:t>
    </w: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i/>
        <w:iCs/>
        <w:color w:val="595959"/>
        <w:sz w:val="16"/>
        <w:szCs w:val="16"/>
      </w:rPr>
      <w:t xml:space="preserve">MineDax  ·  Plan de Migracion SQL Server -&gt; PostgreSQL</w:t>
    </w:r>
    <w:r>
      <w:rPr>
        <w:sz w:val="16"/>
        <w:szCs w:val="16"/>
      </w:rPr>
      <w:t xml:space="preserve">	</w:t>
    </w:r>
    <w:r>
      <w:rPr>
        <w:rFonts w:ascii="Arial" w:cs="Arial" w:eastAsia="Arial" w:hAnsi="Arial"/>
        <w:color w:val="595959"/>
        <w:sz w:val="16"/>
        <w:szCs w:val="16"/>
      </w:rPr>
      <w:t xml:space="preserve">Collective Mining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2026-06-22T20:20:56.772Z</dcterms:created>
  <dcterms:modified xsi:type="dcterms:W3CDTF">2026-06-22T20:20:56.772Z</dcterms:modified>
</cp:coreProperties>
</file>

<file path=docProps/custom.xml><?xml version="1.0" encoding="utf-8"?>
<Properties xmlns="http://schemas.openxmlformats.org/officeDocument/2006/custom-properties" xmlns:vt="http://schemas.openxmlformats.org/officeDocument/2006/docPropsVTypes"/>
</file>