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80" w:before="0"/>
        <w:jc w:val="center"/>
      </w:pPr>
      <w:r>
        <w:rPr>
          <w:rFonts w:ascii="Arial" w:cs="Arial" w:eastAsia="Arial" w:hAnsi="Arial"/>
          <w:b/>
          <w:bCs/>
          <w:color w:val="0D6E6E"/>
          <w:sz w:val="28"/>
          <w:szCs w:val="28"/>
        </w:rPr>
        <w:t xml:space="preserve">COLLECTIVE MINING</w:t>
      </w:r>
    </w:p>
    <w:p>
      <w:pPr>
        <w:spacing w:after="200" w:before="0"/>
        <w:jc w:val="center"/>
      </w:pPr>
      <w:r>
        <w:rPr>
          <w:rFonts w:ascii="Arial" w:cs="Arial" w:eastAsia="Arial" w:hAnsi="Arial"/>
          <w:b/>
          <w:bCs/>
          <w:color w:val="1F3864"/>
          <w:sz w:val="36"/>
          <w:szCs w:val="36"/>
        </w:rPr>
        <w:t xml:space="preserve">EVALUACIÓN DE ARQUITECTURA ALTERNATIVA SIN COSTO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E0F5F5" w:val="clear"/>
            <w:tcMar>
              <w:top w:type="dxa" w:w="200"/>
              <w:left w:type="dxa" w:w="360"/>
              <w:bottom w:type="dxa" w:w="200"/>
              <w:right w:type="dxa" w:w="360"/>
            </w:tcMar>
          </w:tcPr>
          <w:p>
            <w:pPr>
              <w:jc w:val="center"/>
            </w:pPr>
            <w:r>
              <w:rPr>
                <w:rFonts w:ascii="Arial" w:cs="Arial" w:eastAsia="Arial" w:hAnsi="Arial"/>
                <w:b/>
                <w:bCs/>
                <w:color w:val="1F3864"/>
                <w:sz w:val="24"/>
                <w:szCs w:val="24"/>
              </w:rPr>
              <w:t xml:space="preserve">Sistema de Migración Automática de Novedades de Nómina</w:t>
            </w:r>
          </w:p>
          <w:p>
            <w:pPr>
              <w:spacing w:after="0" w:before="80"/>
            </w:pPr>
            <w:r>
              <w:t xml:space="preserve"/>
            </w:r>
          </w:p>
          <w:p>
            <w:pPr>
              <w:jc w:val="center"/>
            </w:pPr>
            <w:r>
              <w:rPr>
                <w:rFonts w:ascii="Arial" w:cs="Arial" w:eastAsia="Arial" w:hAnsi="Arial"/>
                <w:color w:val="444444"/>
                <w:sz w:val="20"/>
                <w:szCs w:val="20"/>
              </w:rPr>
              <w:t xml:space="preserve">Revisión de la propuesta original (Opción D) — Nueva alternativa local e integrada a MineDax (Opción E)</w:t>
            </w:r>
          </w:p>
          <w:p>
            <w:pPr>
              <w:jc w:val="center"/>
            </w:pPr>
            <w:r>
              <w:rPr>
                <w:rFonts w:ascii="Arial" w:cs="Arial" w:eastAsia="Arial" w:hAnsi="Arial"/>
                <w:b/>
                <w:bCs/>
                <w:color w:val="0D6E6E"/>
                <w:sz w:val="20"/>
                <w:szCs w:val="20"/>
              </w:rPr>
              <w:t xml:space="preserve">Costo de operación: $0 | Sin dependencias de API externas | Integración directa SQL Server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color w:val="555555"/>
                <w:sz w:val="18"/>
                <w:szCs w:val="18"/>
              </w:rPr>
              <w:t xml:space="preserve">Versión: 2.0</w:t>
            </w:r>
          </w:p>
        </w:tc>
        <w:tc>
          <w:tcPr>
            <w:tcW w:type="dxa" w:w="312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color w:val="555555"/>
                <w:sz w:val="18"/>
                <w:szCs w:val="18"/>
              </w:rPr>
              <w:t xml:space="preserve">Abril 2026</w:t>
            </w:r>
          </w:p>
        </w:tc>
        <w:tc>
          <w:tcPr>
            <w:tcW w:type="dxa" w:w="312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color w:val="555555"/>
                <w:sz w:val="18"/>
                <w:szCs w:val="18"/>
              </w:rPr>
              <w:t xml:space="preserve">MineDax v2025 — Express</w:t>
            </w:r>
          </w:p>
        </w:tc>
      </w:tr>
    </w:tbl>
    <w:p>
      <w:pPr>
        <w:spacing w:after="0" w:before="400"/>
      </w:pPr>
      <w:r>
        <w:t xml:space="preserve"/>
      </w:r>
    </w:p>
    <w:p>
      <w:r>
        <w:br w:type="page"/>
      </w:r>
    </w:p>
    <w:p>
      <w:pPr>
        <w:pStyle w:val="Heading1"/>
        <w:shd w:fill="1F3864" w:val="clear"/>
        <w:spacing w:after="160" w:before="360"/>
        <w:ind w:left="160" w:right="160"/>
      </w:pPr>
      <w:r>
        <w:rPr>
          <w:rFonts w:ascii="Arial" w:cs="Arial" w:eastAsia="Arial" w:hAnsi="Arial"/>
          <w:b/>
          <w:bCs/>
          <w:color w:val="FFFFFF"/>
          <w:sz w:val="28"/>
          <w:szCs w:val="28"/>
        </w:rPr>
        <w:t xml:space="preserve">1. Revisión de la Propuesta Original y Nuevo Requerimiento</w:t>
      </w:r>
    </w:p>
    <w:p>
      <w:pPr>
        <w:spacing w:after="0" w:before="80"/>
      </w:pPr>
      <w:r>
        <w:t xml:space="preserve"/>
      </w:r>
    </w:p>
    <w:p>
      <w:pPr>
        <w:pStyle w:val="Heading2"/>
        <w:pBdr>
          <w:bottom w:val="single" w:color="2E5FAC" w:sz="8"/>
        </w:pBdr>
        <w:spacing w:after="120" w:before="280"/>
      </w:pPr>
      <w:r>
        <w:rPr>
          <w:rFonts w:ascii="Arial" w:cs="Arial" w:eastAsia="Arial" w:hAnsi="Arial"/>
          <w:b/>
          <w:bCs/>
          <w:color w:val="2E5FAC"/>
          <w:sz w:val="24"/>
          <w:szCs w:val="24"/>
        </w:rPr>
        <w:t xml:space="preserve">1.1 Lo que establece el nuevo requerimiento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010" w:sz="12"/>
              <w:left w:val="single" w:color="8B1010" w:sz="12"/>
              <w:bottom w:val="single" w:color="CCCCCC" w:sz="4"/>
              <w:right w:val="single" w:color="CCCCCC" w:sz="4"/>
            </w:tcBorders>
            <w:shd w:fill="FDE8E8" w:val="clear"/>
            <w:tcMar>
              <w:top w:type="dxa" w:w="120"/>
              <w:left w:type="dxa" w:w="160"/>
              <w:bottom w:type="dxa" w:w="120"/>
              <w:right w:type="dxa" w:w="160"/>
            </w:tcMar>
          </w:tcPr>
          <w:p>
            <w:r>
              <w:rPr>
                <w:rFonts w:ascii="Arial" w:cs="Arial" w:eastAsia="Arial" w:hAnsi="Arial"/>
                <w:b/>
                <w:bCs/>
                <w:color w:val="8B1010"/>
                <w:sz w:val="20"/>
                <w:szCs w:val="20"/>
              </w:rPr>
              <w:t xml:space="preserve">Restricción fundamental:  </w:t>
            </w:r>
            <w:r>
              <w:rPr>
                <w:rFonts w:ascii="Arial" w:cs="Arial" w:eastAsia="Arial" w:hAnsi="Arial"/>
                <w:sz w:val="20"/>
                <w:szCs w:val="20"/>
              </w:rPr>
              <w:t xml:space="preserve">El sistema NO puede tener costo alguno en el momento de procesar o generar la nómina. Esto incluye costos de API, servicios en la nube, suscripciones o cualquier pago por transacción. El objetivo es automatizar el mayor número de formatos con el mínimo mantenimiento posible.</w:t>
            </w:r>
          </w:p>
        </w:tc>
      </w:tr>
    </w:tbl>
    <w:p>
      <w:pPr>
        <w:spacing w:after="0" w:before="100"/>
      </w:pPr>
      <w:r>
        <w:t xml:space="preserve"/>
      </w:r>
    </w:p>
    <w:p>
      <w:pPr>
        <w:spacing w:after="80" w:before="80"/>
      </w:pPr>
      <w:r>
        <w:rPr>
          <w:rFonts w:ascii="Arial" w:cs="Arial" w:eastAsia="Arial" w:hAnsi="Arial"/>
          <w:sz w:val="20"/>
          <w:szCs w:val="20"/>
        </w:rPr>
        <w:t xml:space="preserve">Este requerimiento invalida el componente central de la Opción D (propuesta anterior): el uso de APIs de modelos de lenguaje (LLM como Claude o GPT-4) como motor de identificación semántica. Aunque ese componente era el que otorgaba mayor adaptabilidad ante formatos nuevos, implica un costo por uso que, aunque bajo (~$3-8 USD/mes para el volumen típico de nómina quincenal), no es compatible con la restricción de costo cero.</w:t>
      </w:r>
    </w:p>
    <w:p>
      <w:pPr>
        <w:spacing w:after="0" w:before="80"/>
      </w:pPr>
      <w:r>
        <w:t xml:space="preserve"/>
      </w:r>
    </w:p>
    <w:p>
      <w:pPr>
        <w:pStyle w:val="Heading2"/>
        <w:pBdr>
          <w:bottom w:val="single" w:color="2E5FAC" w:sz="8"/>
        </w:pBdr>
        <w:spacing w:after="120" w:before="280"/>
      </w:pPr>
      <w:r>
        <w:rPr>
          <w:rFonts w:ascii="Arial" w:cs="Arial" w:eastAsia="Arial" w:hAnsi="Arial"/>
          <w:b/>
          <w:bCs/>
          <w:color w:val="2E5FAC"/>
          <w:sz w:val="24"/>
          <w:szCs w:val="24"/>
        </w:rPr>
        <w:t xml:space="preserve">1.2 Lo que se conserva y lo que cambia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0D6E6E" w:val="clear"/>
            <w:tcMar>
              <w:top w:type="dxa" w:w="80"/>
              <w:left w:type="dxa" w:w="160"/>
              <w:bottom w:type="dxa" w:w="80"/>
              <w:right w:type="dxa" w:w="160"/>
            </w:tcMar>
          </w:tcPr>
          <w:p>
            <w:r>
              <w:rPr>
                <w:rFonts w:ascii="Arial" w:cs="Arial" w:eastAsia="Arial" w:hAnsi="Arial"/>
                <w:b/>
                <w:bCs/>
                <w:color w:val="FFFFFF"/>
                <w:sz w:val="22"/>
                <w:szCs w:val="22"/>
              </w:rPr>
              <w:t xml:space="preserve">Diagnóstico de ajuste sobre la Opción D</w:t>
            </w:r>
          </w:p>
        </w:tc>
      </w:tr>
      <w:tr>
        <w:tc>
          <w:tcPr>
            <w:tcW w:type="dxa" w:w="9360"/>
            <w:tcBorders>
              <w:top w:val="single" w:color="0D6E6E" w:sz="4"/>
              <w:left w:val="single" w:color="0D6E6E" w:sz="4"/>
              <w:bottom w:val="single" w:color="0D6E6E" w:sz="4"/>
              <w:right w:val="single" w:color="0D6E6E" w:sz="4"/>
            </w:tcBorders>
            <w:shd w:fill="E0F5F5" w:val="clear"/>
            <w:tcMar>
              <w:top w:type="dxa" w:w="120"/>
              <w:left w:type="dxa" w:w="200"/>
              <w:bottom w:type="dxa" w:w="120"/>
              <w:right w:type="dxa" w:w="200"/>
            </w:tcMar>
          </w:tcPr>
          <w:p>
            <w:pPr>
              <w:spacing w:after="20" w:before="40"/>
            </w:pPr>
            <w:r>
              <w:rPr>
                <w:rFonts w:ascii="Arial" w:cs="Arial" w:eastAsia="Arial" w:hAnsi="Arial"/>
                <w:b/>
                <w:bCs/>
                <w:color w:val="1A6B2A"/>
                <w:sz w:val="20"/>
                <w:szCs w:val="20"/>
              </w:rPr>
              <w:t xml:space="preserve">Se conserva:</w:t>
            </w:r>
          </w:p>
          <w:p>
            <w:pPr>
              <w:pStyle w:val="ListParagraph"/>
              <w:numPr>
                <w:ilvl w:val="0"/>
                <w:numId w:val="2"/>
              </w:numPr>
              <w:spacing w:after="60" w:before="60"/>
            </w:pPr>
            <w:r>
              <w:rPr>
                <w:rFonts w:ascii="Arial" w:cs="Arial" w:eastAsia="Arial" w:hAnsi="Arial"/>
                <w:sz w:val="20"/>
                <w:szCs w:val="20"/>
              </w:rPr>
              <w:t xml:space="preserve">La arquitectura por capas (ingesta → identificación → transformación → revisión → escritura).</w:t>
            </w:r>
          </w:p>
          <w:p>
            <w:pPr>
              <w:pStyle w:val="ListParagraph"/>
              <w:numPr>
                <w:ilvl w:val="0"/>
                <w:numId w:val="2"/>
              </w:numPr>
              <w:spacing w:after="60" w:before="60"/>
            </w:pPr>
            <w:r>
              <w:rPr>
                <w:rFonts w:ascii="Arial" w:cs="Arial" w:eastAsia="Arial" w:hAnsi="Arial"/>
                <w:sz w:val="20"/>
                <w:szCs w:val="20"/>
              </w:rPr>
              <w:t xml:space="preserve">Las librerías de extracción: pandas, openpyxl, xlrd, pdfplumber, pytesseract (todas gratuitas).</w:t>
            </w:r>
          </w:p>
          <w:p>
            <w:pPr>
              <w:pStyle w:val="ListParagraph"/>
              <w:numPr>
                <w:ilvl w:val="0"/>
                <w:numId w:val="2"/>
              </w:numPr>
              <w:spacing w:after="60" w:before="60"/>
            </w:pPr>
            <w:r>
              <w:rPr>
                <w:rFonts w:ascii="Arial" w:cs="Arial" w:eastAsia="Arial" w:hAnsi="Arial"/>
                <w:sz w:val="20"/>
                <w:szCs w:val="20"/>
              </w:rPr>
              <w:t xml:space="preserve">El concepto de biblioteca de mapeos aprendidos (alias_map).</w:t>
            </w:r>
          </w:p>
          <w:p>
            <w:pPr>
              <w:pStyle w:val="ListParagraph"/>
              <w:numPr>
                <w:ilvl w:val="0"/>
                <w:numId w:val="2"/>
              </w:numPr>
              <w:spacing w:after="60" w:before="60"/>
            </w:pPr>
            <w:r>
              <w:rPr>
                <w:rFonts w:ascii="Arial" w:cs="Arial" w:eastAsia="Arial" w:hAnsi="Arial"/>
                <w:sz w:val="20"/>
                <w:szCs w:val="20"/>
              </w:rPr>
              <w:t xml:space="preserve">La interfaz Streamlit para revisión y aprobación por el equipo.</w:t>
            </w:r>
          </w:p>
          <w:p>
            <w:pPr>
              <w:pStyle w:val="ListParagraph"/>
              <w:numPr>
                <w:ilvl w:val="0"/>
                <w:numId w:val="2"/>
              </w:numPr>
              <w:spacing w:after="60" w:before="60"/>
            </w:pPr>
            <w:r>
              <w:rPr>
                <w:rFonts w:ascii="Arial" w:cs="Arial" w:eastAsia="Arial" w:hAnsi="Arial"/>
                <w:sz w:val="20"/>
                <w:szCs w:val="20"/>
              </w:rPr>
              <w:t xml:space="preserve">La integración con la base de datos MineDax como destino final de los datos.</w:t>
            </w:r>
          </w:p>
          <w:p>
            <w:pPr>
              <w:spacing w:after="0" w:before="60"/>
            </w:pPr>
            <w:r>
              <w:t xml:space="preserve"/>
            </w:r>
          </w:p>
          <w:p>
            <w:pPr>
              <w:spacing w:after="20" w:before="40"/>
            </w:pPr>
            <w:r>
              <w:rPr>
                <w:rFonts w:ascii="Arial" w:cs="Arial" w:eastAsia="Arial" w:hAnsi="Arial"/>
                <w:b/>
                <w:bCs/>
                <w:color w:val="8B1010"/>
                <w:sz w:val="20"/>
                <w:szCs w:val="20"/>
              </w:rPr>
              <w:t xml:space="preserve">Se reemplaza:</w:t>
            </w:r>
          </w:p>
          <w:p>
            <w:pPr>
              <w:pStyle w:val="ListParagraph"/>
              <w:numPr>
                <w:ilvl w:val="0"/>
                <w:numId w:val="2"/>
              </w:numPr>
              <w:spacing w:after="60" w:before="60"/>
            </w:pPr>
            <w:r>
              <w:rPr>
                <w:rFonts w:ascii="Arial" w:cs="Arial" w:eastAsia="Arial" w:hAnsi="Arial"/>
                <w:sz w:val="20"/>
                <w:szCs w:val="20"/>
              </w:rPr>
              <w:t xml:space="preserve">El motor de identificación por LLM (API externa con costo) se reemplaza por un motor de fuzzy matching local con rapidfuzz + alias_map.json mantenido internamente.</w:t>
            </w:r>
          </w:p>
          <w:p>
            <w:pPr>
              <w:pStyle w:val="ListParagraph"/>
              <w:numPr>
                <w:ilvl w:val="0"/>
                <w:numId w:val="2"/>
              </w:numPr>
              <w:spacing w:after="60" w:before="60"/>
            </w:pPr>
            <w:r>
              <w:rPr>
                <w:rFonts w:ascii="Arial" w:cs="Arial" w:eastAsia="Arial" w:hAnsi="Arial"/>
                <w:sz w:val="20"/>
                <w:szCs w:val="20"/>
              </w:rPr>
              <w:t xml:space="preserve">El destino del dato pasa de ser la plantilla Excel ADECCO a ser directamente las tablas de MineDax (NO_NOVED, NO_OCASI, NO_FIJAS, NO_AUSEN, NO_CAMBI), eliminando un paso intermedio.</w:t>
            </w:r>
          </w:p>
        </w:tc>
      </w:tr>
    </w:tbl>
    <w:p>
      <w:pPr>
        <w:spacing w:after="0" w:before="200"/>
      </w:pPr>
      <w:r>
        <w:t xml:space="preserve"/>
      </w:r>
    </w:p>
    <w:p>
      <w:r>
        <w:br w:type="page"/>
      </w:r>
    </w:p>
    <w:p>
      <w:pPr>
        <w:pStyle w:val="Heading1"/>
        <w:shd w:fill="1F3864" w:val="clear"/>
        <w:spacing w:after="160" w:before="360"/>
        <w:ind w:left="160" w:right="160"/>
      </w:pPr>
      <w:r>
        <w:rPr>
          <w:rFonts w:ascii="Arial" w:cs="Arial" w:eastAsia="Arial" w:hAnsi="Arial"/>
          <w:b/>
          <w:bCs/>
          <w:color w:val="FFFFFF"/>
          <w:sz w:val="28"/>
          <w:szCs w:val="28"/>
        </w:rPr>
        <w:t xml:space="preserve">2. Opción E — Arquitectura Local de Costo $0</w:t>
      </w:r>
    </w:p>
    <w:p>
      <w:pPr>
        <w:spacing w:after="0" w:before="80"/>
      </w:pPr>
      <w:r>
        <w:t xml:space="preserve"/>
      </w:r>
    </w:p>
    <w:p>
      <w:pPr>
        <w:spacing w:after="80" w:before="80"/>
      </w:pPr>
      <w:r>
        <w:rPr>
          <w:rFonts w:ascii="Arial" w:cs="Arial" w:eastAsia="Arial" w:hAnsi="Arial"/>
          <w:sz w:val="20"/>
          <w:szCs w:val="20"/>
        </w:rPr>
        <w:t xml:space="preserve">La nueva propuesta (Opción E) se fundamenta en tres principios: todo el procesamiento ocurre localmente en la misma máquina donde corre MineDax (CM-ITD-P-05), los datos se insertan directamente en las tablas de la base de datos sin pasar por Excel, y la adaptación a nuevos formatos se logra a través de un archivo de alias editable que cualquier persona del equipo puede actualizar sin conocimientos de programación.</w:t>
      </w:r>
    </w:p>
    <w:p>
      <w:pPr>
        <w:spacing w:after="0" w:before="120"/>
      </w:pPr>
      <w:r>
        <w:t xml:space="preserve"/>
      </w:r>
    </w:p>
    <w:p>
      <w:pPr>
        <w:pStyle w:val="Heading2"/>
        <w:pBdr>
          <w:bottom w:val="single" w:color="2E5FAC" w:sz="8"/>
        </w:pBdr>
        <w:spacing w:after="120" w:before="280"/>
      </w:pPr>
      <w:r>
        <w:rPr>
          <w:rFonts w:ascii="Arial" w:cs="Arial" w:eastAsia="Arial" w:hAnsi="Arial"/>
          <w:b/>
          <w:bCs/>
          <w:color w:val="2E5FAC"/>
          <w:sz w:val="24"/>
          <w:szCs w:val="24"/>
        </w:rPr>
        <w:t xml:space="preserve">2.1 Comparación directa: Opción D vs. Opción 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Criterio</w:t>
            </w:r>
          </w:p>
        </w:tc>
        <w:tc>
          <w:tcPr>
            <w:tcW w:type="dxa" w:w="3080"/>
            <w:tcBorders>
              <w:top w:val="single" w:color="2E5FAC" w:sz="4"/>
              <w:left w:val="single" w:color="2E5FAC" w:sz="4"/>
              <w:bottom w:val="single" w:color="2E5FAC" w:sz="4"/>
              <w:right w:val="single" w:color="2E5FAC" w:sz="4"/>
            </w:tcBorders>
            <w:shd w:fill="2E5FA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Opción D — Híbrida (propuesta original)</w:t>
            </w:r>
          </w:p>
        </w:tc>
        <w:tc>
          <w:tcPr>
            <w:tcW w:type="dxa" w:w="3080"/>
            <w:tcBorders>
              <w:top w:val="single" w:color="0D6E6E" w:sz="4"/>
              <w:left w:val="single" w:color="0D6E6E" w:sz="4"/>
              <w:bottom w:val="single" w:color="0D6E6E" w:sz="4"/>
              <w:right w:val="single" w:color="0D6E6E" w:sz="4"/>
            </w:tcBorders>
            <w:shd w:fill="0D6E6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Opción E — Inteligencia Local sin costo (nueva propuesta)</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Costo en producción</w:t>
            </w:r>
          </w:p>
        </w:tc>
        <w:tc>
          <w:tcPr>
            <w:tcW w:type="dxa" w:w="3080"/>
            <w:tcBorders>
              <w:top w:val="single" w:color="CCCCCC" w:sz="4"/>
              <w:left w:val="single" w:color="CCCCCC" w:sz="4"/>
              <w:bottom w:val="single" w:color="CCCCCC" w:sz="4"/>
              <w:right w:val="single" w:color="CCCCCC" w:sz="4"/>
            </w:tcBorders>
            <w:shd w:fill="FDE8E8" w:val="clear"/>
            <w:tcMar>
              <w:top w:type="dxa" w:w="60"/>
              <w:left w:type="dxa" w:w="110"/>
              <w:bottom w:type="dxa" w:w="60"/>
              <w:right w:type="dxa" w:w="110"/>
            </w:tcMar>
            <w:vAlign w:val="center"/>
          </w:tcPr>
          <w:p>
            <w:pPr>
              <w:jc w:val="left"/>
            </w:pPr>
            <w:r>
              <w:rPr>
                <w:rFonts w:ascii="Arial" w:cs="Arial" w:eastAsia="Arial" w:hAnsi="Arial"/>
                <w:b w:val="false"/>
                <w:bCs w:val="false"/>
                <w:color w:val="8B1010"/>
                <w:sz w:val="17"/>
                <w:szCs w:val="17"/>
              </w:rPr>
              <w:t xml:space="preserve">API LLM: ~$3–8 USD/mes estimado</w:t>
            </w:r>
          </w:p>
        </w:tc>
        <w:tc>
          <w:tcPr>
            <w:tcW w:type="dxa" w:w="3080"/>
            <w:tcBorders>
              <w:top w:val="single" w:color="CCCCCC" w:sz="4"/>
              <w:left w:val="single" w:color="CCCCCC" w:sz="4"/>
              <w:bottom w:val="single" w:color="CCCCCC" w:sz="4"/>
              <w:right w:val="single" w:color="CCCCCC" w:sz="4"/>
            </w:tcBorders>
            <w:shd w:fill="E8F5EC" w:val="clear"/>
            <w:tcMar>
              <w:top w:type="dxa" w:w="60"/>
              <w:left w:type="dxa" w:w="110"/>
              <w:bottom w:type="dxa" w:w="60"/>
              <w:right w:type="dxa" w:w="110"/>
            </w:tcMar>
            <w:vAlign w:val="center"/>
          </w:tcPr>
          <w:p>
            <w:pPr>
              <w:jc w:val="left"/>
            </w:pPr>
            <w:r>
              <w:rPr>
                <w:rFonts w:ascii="Arial" w:cs="Arial" w:eastAsia="Arial" w:hAnsi="Arial"/>
                <w:b/>
                <w:bCs/>
                <w:color w:val="1A6B2A"/>
                <w:sz w:val="17"/>
                <w:szCs w:val="17"/>
              </w:rPr>
              <w:t xml:space="preserve">$0 — 100% local, sin llamadas externas</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Adaptación a nuevos formatos</w:t>
            </w:r>
          </w:p>
        </w:tc>
        <w:tc>
          <w:tcPr>
            <w:tcW w:type="dxa" w:w="30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555555"/>
                <w:sz w:val="17"/>
                <w:szCs w:val="17"/>
              </w:rPr>
              <w:t xml:space="preserve">LLM identifica automáticamente cualquier campo</w:t>
            </w:r>
          </w:p>
        </w:tc>
        <w:tc>
          <w:tcPr>
            <w:tcW w:type="dxa" w:w="308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Heurísticas + alias-map actualizable en JSON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Precisión en campos conocidos</w:t>
            </w:r>
          </w:p>
        </w:tc>
        <w:tc>
          <w:tcPr>
            <w:tcW w:type="dxa" w:w="30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555555"/>
                <w:sz w:val="17"/>
                <w:szCs w:val="17"/>
              </w:rPr>
              <w:t xml:space="preserve">≥ 95%</w:t>
            </w:r>
          </w:p>
        </w:tc>
        <w:tc>
          <w:tcPr>
            <w:tcW w:type="dxa" w:w="308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 92% (comparable en formatos registrados)</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Precisión en formatos desconocidos</w:t>
            </w:r>
          </w:p>
        </w:tc>
        <w:tc>
          <w:tcPr>
            <w:tcW w:type="dxa" w:w="30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555555"/>
                <w:sz w:val="17"/>
                <w:szCs w:val="17"/>
              </w:rPr>
              <w:t xml:space="preserve">≥ 85% (LLM)</w:t>
            </w:r>
          </w:p>
        </w:tc>
        <w:tc>
          <w:tcPr>
            <w:tcW w:type="dxa" w:w="308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~70% — requiere registrar alias nuevos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Mantenimiento técnico</w:t>
            </w:r>
          </w:p>
        </w:tc>
        <w:tc>
          <w:tcPr>
            <w:tcW w:type="dxa" w:w="30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555555"/>
                <w:sz w:val="17"/>
                <w:szCs w:val="17"/>
              </w:rPr>
              <w:t xml:space="preserve">Bajo (IA se adapta sola)</w:t>
            </w:r>
          </w:p>
        </w:tc>
        <w:tc>
          <w:tcPr>
            <w:tcW w:type="dxa" w:w="308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Muy bajo (un archivo JSON de alias)</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Velocidad de procesamiento</w:t>
            </w:r>
          </w:p>
        </w:tc>
        <w:tc>
          <w:tcPr>
            <w:tcW w:type="dxa" w:w="30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555555"/>
                <w:sz w:val="17"/>
                <w:szCs w:val="17"/>
              </w:rPr>
              <w:t xml:space="preserve">Depende de latencia API (1-3 seg/archivo)</w:t>
            </w:r>
          </w:p>
        </w:tc>
        <w:tc>
          <w:tcPr>
            <w:tcW w:type="dxa" w:w="308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&lt; 0.3 seg/archivo (todo local)</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Funcionamiento offline</w:t>
            </w:r>
          </w:p>
        </w:tc>
        <w:tc>
          <w:tcPr>
            <w:tcW w:type="dxa" w:w="30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555555"/>
                <w:sz w:val="17"/>
                <w:szCs w:val="17"/>
              </w:rPr>
              <w:t xml:space="preserve">No (requiere internet para API)</w:t>
            </w:r>
          </w:p>
        </w:tc>
        <w:tc>
          <w:tcPr>
            <w:tcW w:type="dxa" w:w="308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Sí — opera sin red</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Integración directa a MineDax</w:t>
            </w:r>
          </w:p>
        </w:tc>
        <w:tc>
          <w:tcPr>
            <w:tcW w:type="dxa" w:w="30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555555"/>
                <w:sz w:val="17"/>
                <w:szCs w:val="17"/>
              </w:rPr>
              <w:t xml:space="preserve">Con desarrollo adicional</w:t>
            </w:r>
          </w:p>
        </w:tc>
        <w:tc>
          <w:tcPr>
            <w:tcW w:type="dxa" w:w="308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Nativa — INSERT directo a tablas NO_*</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Curva de aprendizaje del sistema</w:t>
            </w:r>
          </w:p>
        </w:tc>
        <w:tc>
          <w:tcPr>
            <w:tcW w:type="dxa" w:w="30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555555"/>
                <w:sz w:val="17"/>
                <w:szCs w:val="17"/>
              </w:rPr>
              <w:t xml:space="preserve">Automática por LLM</w:t>
            </w:r>
          </w:p>
        </w:tc>
        <w:tc>
          <w:tcPr>
            <w:tcW w:type="dxa" w:w="308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Semi-automática: el equipo registra alias</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Escalabilidad a más formatos</w:t>
            </w:r>
          </w:p>
        </w:tc>
        <w:tc>
          <w:tcPr>
            <w:tcW w:type="dxa" w:w="30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555555"/>
                <w:sz w:val="17"/>
                <w:szCs w:val="17"/>
              </w:rPr>
              <w:t xml:space="preserve">Alta, sin esfuerzo adicional</w:t>
            </w:r>
          </w:p>
        </w:tc>
        <w:tc>
          <w:tcPr>
            <w:tcW w:type="dxa" w:w="308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Alta, con registro mínimo de alias nuevos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Viabilidad inmediata</w:t>
            </w:r>
          </w:p>
        </w:tc>
        <w:tc>
          <w:tcPr>
            <w:tcW w:type="dxa" w:w="30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555555"/>
                <w:sz w:val="17"/>
                <w:szCs w:val="17"/>
              </w:rPr>
              <w:t xml:space="preserve">Alta</w:t>
            </w:r>
          </w:p>
        </w:tc>
        <w:tc>
          <w:tcPr>
            <w:tcW w:type="dxa" w:w="308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Alta</w:t>
            </w:r>
          </w:p>
        </w:tc>
      </w:tr>
    </w:tbl>
    <w:p>
      <w:pPr>
        <w:spacing w:after="0" w:before="160"/>
      </w:pPr>
      <w:r>
        <w:t xml:space="preserve"/>
      </w:r>
    </w:p>
    <w:p>
      <w:pPr>
        <w:pStyle w:val="Heading2"/>
        <w:pBdr>
          <w:bottom w:val="single" w:color="2E5FAC" w:sz="8"/>
        </w:pBdr>
        <w:spacing w:after="120" w:before="280"/>
      </w:pPr>
      <w:r>
        <w:rPr>
          <w:rFonts w:ascii="Arial" w:cs="Arial" w:eastAsia="Arial" w:hAnsi="Arial"/>
          <w:b/>
          <w:bCs/>
          <w:color w:val="2E5FAC"/>
          <w:sz w:val="24"/>
          <w:szCs w:val="24"/>
        </w:rPr>
        <w:t xml:space="preserve">2.2 Cómo funciona la identificación sin LLM: Fuzzy Matching + Alias Map</w:t>
      </w:r>
    </w:p>
    <w:p>
      <w:pPr>
        <w:spacing w:after="80" w:before="80"/>
      </w:pPr>
      <w:r>
        <w:rPr>
          <w:rFonts w:ascii="Arial" w:cs="Arial" w:eastAsia="Arial" w:hAnsi="Arial"/>
          <w:sz w:val="20"/>
          <w:szCs w:val="20"/>
        </w:rPr>
        <w:t xml:space="preserve">El componente clave que reemplaza al LLM es la combinación de dos técnicas 100% locales y gratuitas: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0D6E6E" w:val="clear"/>
            <w:tcMar>
              <w:top w:type="dxa" w:w="80"/>
              <w:left w:type="dxa" w:w="160"/>
              <w:bottom w:type="dxa" w:w="80"/>
              <w:right w:type="dxa" w:w="160"/>
            </w:tcMar>
          </w:tcPr>
          <w:p>
            <w:r>
              <w:rPr>
                <w:rFonts w:ascii="Arial" w:cs="Arial" w:eastAsia="Arial" w:hAnsi="Arial"/>
                <w:b/>
                <w:bCs/>
                <w:color w:val="FFFFFF"/>
                <w:sz w:val="22"/>
                <w:szCs w:val="22"/>
              </w:rPr>
              <w:t xml:space="preserve">Motor de Identificación Local (sin API)</w:t>
            </w:r>
          </w:p>
        </w:tc>
      </w:tr>
      <w:tr>
        <w:tc>
          <w:tcPr>
            <w:tcW w:type="dxa" w:w="9360"/>
            <w:tcBorders>
              <w:top w:val="single" w:color="0D6E6E" w:sz="4"/>
              <w:left w:val="single" w:color="0D6E6E" w:sz="4"/>
              <w:bottom w:val="single" w:color="0D6E6E" w:sz="4"/>
              <w:right w:val="single" w:color="0D6E6E" w:sz="4"/>
            </w:tcBorders>
            <w:shd w:fill="E0F5F5" w:val="clear"/>
            <w:tcMar>
              <w:top w:type="dxa" w:w="120"/>
              <w:left w:type="dxa" w:w="200"/>
              <w:bottom w:type="dxa" w:w="120"/>
              <w:right w:type="dxa" w:w="200"/>
            </w:tcMar>
          </w:tcPr>
          <w:p>
            <w:pPr>
              <w:spacing w:after="20" w:before="40"/>
            </w:pPr>
            <w:r>
              <w:rPr>
                <w:rFonts w:ascii="Arial" w:cs="Arial" w:eastAsia="Arial" w:hAnsi="Arial"/>
                <w:b/>
                <w:bCs/>
                <w:color w:val="1F3864"/>
                <w:sz w:val="20"/>
                <w:szCs w:val="20"/>
              </w:rPr>
              <w:t xml:space="preserve">Paso 1 — Normalización del encabezado:</w:t>
            </w:r>
          </w:p>
          <w:p>
            <w:pPr>
              <w:spacing w:after="80" w:before="80"/>
            </w:pPr>
            <w:r>
              <w:rPr>
                <w:rFonts w:ascii="Arial" w:cs="Arial" w:eastAsia="Arial" w:hAnsi="Arial"/>
                <w:sz w:val="20"/>
                <w:szCs w:val="20"/>
              </w:rPr>
              <w:t xml:space="preserve">Todos los encabezados del archivo fuente se normalizan: se convierten a minúsculas, se eliminan tildes y caracteres especiales, y se remueven espacios extras. Esto permite comparar 'NOMBRE DEL EMPLEADO', 'Nombre el Colaborador' y 'nombre empleado' de manera equivalente.</w:t>
            </w:r>
          </w:p>
          <w:p>
            <w:pPr>
              <w:spacing w:after="0" w:before="60"/>
            </w:pPr>
            <w:r>
              <w:t xml:space="preserve"/>
            </w:r>
          </w:p>
          <w:p>
            <w:pPr>
              <w:spacing w:after="20" w:before="40"/>
            </w:pPr>
            <w:r>
              <w:rPr>
                <w:rFonts w:ascii="Arial" w:cs="Arial" w:eastAsia="Arial" w:hAnsi="Arial"/>
                <w:b/>
                <w:bCs/>
                <w:color w:val="1F3864"/>
                <w:sz w:val="20"/>
                <w:szCs w:val="20"/>
              </w:rPr>
              <w:t xml:space="preserve">Paso 2 — Lookup exacto en alias_map.json:</w:t>
            </w:r>
          </w:p>
          <w:p>
            <w:pPr>
              <w:spacing w:after="80" w:before="80"/>
            </w:pPr>
            <w:r>
              <w:rPr>
                <w:rFonts w:ascii="Arial" w:cs="Arial" w:eastAsia="Arial" w:hAnsi="Arial"/>
                <w:sz w:val="20"/>
                <w:szCs w:val="20"/>
              </w:rPr>
              <w:t xml:space="preserve">Se busca el encabezado normalizado en el diccionario de alias conocidos. Si existe una coincidencia exacta (confianza 100%), el campo se mapea directamente. Este proceso cubre el 90%+ de los casos en formatos ya registrados.</w:t>
            </w:r>
          </w:p>
          <w:p>
            <w:pPr>
              <w:spacing w:after="0" w:before="60"/>
            </w:pPr>
            <w:r>
              <w:t xml:space="preserve"/>
            </w:r>
          </w:p>
          <w:p>
            <w:pPr>
              <w:spacing w:after="20" w:before="40"/>
            </w:pPr>
            <w:r>
              <w:rPr>
                <w:rFonts w:ascii="Arial" w:cs="Arial" w:eastAsia="Arial" w:hAnsi="Arial"/>
                <w:b/>
                <w:bCs/>
                <w:color w:val="1F3864"/>
                <w:sz w:val="20"/>
                <w:szCs w:val="20"/>
              </w:rPr>
              <w:t xml:space="preserve">Paso 3 — Fuzzy matching para variaciones menores (confianza ≥ 80%):</w:t>
            </w:r>
          </w:p>
          <w:p>
            <w:pPr>
              <w:spacing w:after="80" w:before="80"/>
            </w:pPr>
            <w:r>
              <w:rPr>
                <w:rFonts w:ascii="Arial" w:cs="Arial" w:eastAsia="Arial" w:hAnsi="Arial"/>
                <w:sz w:val="20"/>
                <w:szCs w:val="20"/>
              </w:rPr>
              <w:t xml:space="preserve">Con rapidfuzz se compara el encabezado desconocido contra todos los alias registrados usando distancia de Levenshtein. Si la similitud es ≥ 80%, se propone el mapeo con indicador amarillo ('revisar'). Si es &lt; 80%, se marca como 'no reconocido' para que el usuario lo registre.</w:t>
            </w:r>
          </w:p>
          <w:p>
            <w:pPr>
              <w:spacing w:after="0" w:before="60"/>
            </w:pPr>
            <w:r>
              <w:t xml:space="preserve"/>
            </w:r>
          </w:p>
          <w:p>
            <w:pPr>
              <w:spacing w:after="20" w:before="40"/>
            </w:pPr>
            <w:r>
              <w:rPr>
                <w:rFonts w:ascii="Arial" w:cs="Arial" w:eastAsia="Arial" w:hAnsi="Arial"/>
                <w:b/>
                <w:bCs/>
                <w:color w:val="1F3864"/>
                <w:sz w:val="20"/>
                <w:szCs w:val="20"/>
              </w:rPr>
              <w:t xml:space="preserve">Paso 4 — Validación heurística del contenido:</w:t>
            </w:r>
          </w:p>
          <w:p>
            <w:pPr>
              <w:spacing w:after="80" w:before="80"/>
            </w:pPr>
            <w:r>
              <w:rPr>
                <w:rFonts w:ascii="Arial" w:cs="Arial" w:eastAsia="Arial" w:hAnsi="Arial"/>
                <w:sz w:val="20"/>
                <w:szCs w:val="20"/>
              </w:rPr>
              <w:t xml:space="preserve">Independientemente del nombre del encabezado, el sistema valida el tipo de dato de cada columna: si los valores son numéricos de 7-10 dígitos → cédula, si son fechas en formato reconocible → campo de fecha, si son valores &gt; 100.000 → valor monetario. Esta validación doble reduce significativamente los errores de mapeo.</w:t>
            </w:r>
          </w:p>
          <w:p>
            <w:pPr>
              <w:spacing w:after="0" w:before="60"/>
            </w:pPr>
            <w:r>
              <w:t xml:space="preserve"/>
            </w:r>
          </w:p>
          <w:p>
            <w:pPr>
              <w:spacing w:after="20" w:before="40"/>
            </w:pPr>
            <w:r>
              <w:rPr>
                <w:rFonts w:ascii="Arial" w:cs="Arial" w:eastAsia="Arial" w:hAnsi="Arial"/>
                <w:b/>
                <w:bCs/>
                <w:color w:val="1F3864"/>
                <w:sz w:val="20"/>
                <w:szCs w:val="20"/>
              </w:rPr>
              <w:t xml:space="preserve">Paso 5 — Resolución de COD_CONC desde MineDax:</w:t>
            </w:r>
          </w:p>
          <w:p>
            <w:pPr>
              <w:spacing w:after="80" w:before="80"/>
            </w:pPr>
            <w:r>
              <w:rPr>
                <w:rFonts w:ascii="Arial" w:cs="Arial" w:eastAsia="Arial" w:hAnsi="Arial"/>
                <w:sz w:val="20"/>
                <w:szCs w:val="20"/>
              </w:rPr>
              <w:t xml:space="preserve">El tipo de novedad (NOM_CONC en NO_CONCE) se resuelve con una consulta directa a la base de datos. 'Horas Extras Diurnas 125%' en el alias_map apunta a COD_CONC=10, que ya existe en MineDax con ese código exacto. La tabla NO_CONCE con sus 91 conceptos se convierte en el catálogo de referencia del sistema.</w:t>
            </w:r>
          </w:p>
        </w:tc>
      </w:tr>
    </w:tbl>
    <w:p>
      <w:pPr>
        <w:spacing w:after="0" w:before="200"/>
      </w:pPr>
      <w:r>
        <w:t xml:space="preserve"/>
      </w:r>
    </w:p>
    <w:p>
      <w:r>
        <w:br w:type="page"/>
      </w:r>
    </w:p>
    <w:p>
      <w:pPr>
        <w:pStyle w:val="Heading1"/>
        <w:shd w:fill="1F3864" w:val="clear"/>
        <w:spacing w:after="160" w:before="360"/>
        <w:ind w:left="160" w:right="160"/>
      </w:pPr>
      <w:r>
        <w:rPr>
          <w:rFonts w:ascii="Arial" w:cs="Arial" w:eastAsia="Arial" w:hAnsi="Arial"/>
          <w:b/>
          <w:bCs/>
          <w:color w:val="FFFFFF"/>
          <w:sz w:val="28"/>
          <w:szCs w:val="28"/>
        </w:rPr>
        <w:t xml:space="preserve">3. Integración Directa con MineDax</w:t>
      </w:r>
    </w:p>
    <w:p>
      <w:pPr>
        <w:spacing w:after="0" w:before="80"/>
      </w:pPr>
      <w:r>
        <w:t xml:space="preserve"/>
      </w:r>
    </w:p>
    <w:p>
      <w:pPr>
        <w:spacing w:after="80" w:before="80"/>
      </w:pPr>
      <w:r>
        <w:rPr>
          <w:rFonts w:ascii="Arial" w:cs="Arial" w:eastAsia="Arial" w:hAnsi="Arial"/>
          <w:sz w:val="20"/>
          <w:szCs w:val="20"/>
        </w:rPr>
        <w:t xml:space="preserve">Una de las ventajas clave de esta nueva arquitectura es que el destino final de los datos es directamente la base de datos MineDax (SQL Server Express en CM-ITD-P-05), eliminando la plantilla Excel ADECCO como paso intermedio y reduciendo el riesgo de errores de transcripción.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2"/>
              <w:left w:val="single" w:color="0D6E6E" w:sz="12"/>
              <w:bottom w:val="single" w:color="CCCCCC" w:sz="4"/>
              <w:right w:val="single" w:color="CCCCCC" w:sz="4"/>
            </w:tcBorders>
            <w:shd w:fill="E0F5F5" w:val="clear"/>
            <w:tcMar>
              <w:top w:type="dxa" w:w="120"/>
              <w:left w:type="dxa" w:w="160"/>
              <w:bottom w:type="dxa" w:w="120"/>
              <w:right w:type="dxa" w:w="160"/>
            </w:tcMar>
          </w:tcPr>
          <w:p>
            <w:r>
              <w:rPr>
                <w:rFonts w:ascii="Arial" w:cs="Arial" w:eastAsia="Arial" w:hAnsi="Arial"/>
                <w:b/>
                <w:bCs/>
                <w:color w:val="0D6E6E"/>
                <w:sz w:val="20"/>
                <w:szCs w:val="20"/>
              </w:rPr>
              <w:t xml:space="preserve">Base de datos conectada:  </w:t>
            </w:r>
            <w:r>
              <w:rPr>
                <w:rFonts w:ascii="Arial" w:cs="Arial" w:eastAsia="Arial" w:hAnsi="Arial"/>
                <w:sz w:val="20"/>
                <w:szCs w:val="20"/>
              </w:rPr>
              <w:t xml:space="preserve">MineDax — Microsoft SQL Server 2025 Express | Servidor: CM-ITD-P-05\SQLEXPRESS | 159 empleados activos en MAE_TERC | 91 conceptos de novedad en NO_CONCE | Sin encriptación requerida para conexión local.</w:t>
            </w:r>
          </w:p>
        </w:tc>
      </w:tr>
    </w:tbl>
    <w:p>
      <w:pPr>
        <w:spacing w:after="0" w:before="120"/>
      </w:pPr>
      <w:r>
        <w:t xml:space="preserve"/>
      </w:r>
    </w:p>
    <w:p>
      <w:pPr>
        <w:pStyle w:val="Heading2"/>
        <w:pBdr>
          <w:bottom w:val="single" w:color="2E5FAC" w:sz="8"/>
        </w:pBdr>
        <w:spacing w:after="120" w:before="280"/>
      </w:pPr>
      <w:r>
        <w:rPr>
          <w:rFonts w:ascii="Arial" w:cs="Arial" w:eastAsia="Arial" w:hAnsi="Arial"/>
          <w:b/>
          <w:bCs/>
          <w:color w:val="2E5FAC"/>
          <w:sz w:val="24"/>
          <w:szCs w:val="24"/>
        </w:rPr>
        <w:t xml:space="preserve">3.1 Flujo de datos: Archivo fuente → MineDax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2E5FAC" w:val="clear"/>
            <w:tcMar>
              <w:top w:type="dxa" w:w="80"/>
              <w:left w:type="dxa" w:w="160"/>
              <w:bottom w:type="dxa" w:w="80"/>
              <w:right w:type="dxa" w:w="160"/>
            </w:tcMar>
          </w:tcPr>
          <w:p>
            <w:r>
              <w:rPr>
                <w:rFonts w:ascii="Arial" w:cs="Arial" w:eastAsia="Arial" w:hAnsi="Arial"/>
                <w:b/>
                <w:bCs/>
                <w:color w:val="FFFFFF"/>
                <w:sz w:val="22"/>
                <w:szCs w:val="22"/>
              </w:rPr>
              <w:t xml:space="preserve">Secuencia de inserción (para cada registro detectado)</w:t>
            </w:r>
          </w:p>
        </w:tc>
      </w:tr>
      <w:tr>
        <w:tc>
          <w:tcPr>
            <w:tcW w:type="dxa" w:w="9360"/>
            <w:tcBorders>
              <w:top w:val="single" w:color="2E5FAC" w:sz="4"/>
              <w:left w:val="single" w:color="2E5FAC" w:sz="4"/>
              <w:bottom w:val="single" w:color="2E5FAC" w:sz="4"/>
              <w:right w:val="single" w:color="2E5FAC" w:sz="4"/>
            </w:tcBorders>
            <w:shd w:fill="D6E4F7" w:val="clear"/>
            <w:tcMar>
              <w:top w:type="dxa" w:w="120"/>
              <w:left w:type="dxa" w:w="200"/>
              <w:bottom w:type="dxa" w:w="120"/>
              <w:right w:type="dxa" w:w="200"/>
            </w:tcMar>
          </w:tcPr>
          <w:p>
            <w:pPr>
              <w:pStyle w:val="ListParagraph"/>
              <w:numPr>
                <w:ilvl w:val="0"/>
                <w:numId w:val="3"/>
              </w:numPr>
              <w:spacing w:after="60" w:before="60"/>
            </w:pPr>
            <w:r>
              <w:rPr>
                <w:rFonts w:ascii="Arial" w:cs="Arial" w:eastAsia="Arial" w:hAnsi="Arial"/>
                <w:sz w:val="20"/>
                <w:szCs w:val="20"/>
              </w:rPr>
              <w:t xml:space="preserve">Verificar que la cédula extraída exista en MAE_TERC (campo M_CED). Si no existe → error con nombre del archivo y fila. Si existe → obtener COD_FUNCI y COD_EMPR.</w:t>
            </w:r>
          </w:p>
          <w:p>
            <w:pPr>
              <w:pStyle w:val="ListParagraph"/>
              <w:numPr>
                <w:ilvl w:val="0"/>
                <w:numId w:val="3"/>
              </w:numPr>
              <w:spacing w:after="60" w:before="60"/>
            </w:pPr>
            <w:r>
              <w:rPr>
                <w:rFonts w:ascii="Arial" w:cs="Arial" w:eastAsia="Arial" w:hAnsi="Arial"/>
                <w:sz w:val="20"/>
                <w:szCs w:val="20"/>
              </w:rPr>
              <w:t xml:space="preserve">Resolver COD_CONC consultando NO_CONCE por NOM_CONC (con alias_map como puente). COD_PERIOD se obtiene de NO_PERIOD por el período activo o el más reciente con PER_EST='I'.</w:t>
            </w:r>
          </w:p>
          <w:p>
            <w:pPr>
              <w:pStyle w:val="ListParagraph"/>
              <w:numPr>
                <w:ilvl w:val="0"/>
                <w:numId w:val="3"/>
              </w:numPr>
              <w:spacing w:after="60" w:before="60"/>
            </w:pPr>
            <w:r>
              <w:rPr>
                <w:rFonts w:ascii="Arial" w:cs="Arial" w:eastAsia="Arial" w:hAnsi="Arial"/>
                <w:sz w:val="20"/>
                <w:szCs w:val="20"/>
              </w:rPr>
              <w:t xml:space="preserve">Insertar registro base en NO_NOVED: COD_EMPR, COD_FUNCI, COD_CONC, COD_PERIOD, FEC_REGI=hoy, OBS_NOVED, IND_APLICADO='N', ACT_ESTA='I'.</w:t>
            </w:r>
          </w:p>
          <w:p>
            <w:pPr>
              <w:pStyle w:val="ListParagraph"/>
              <w:numPr>
                <w:ilvl w:val="0"/>
                <w:numId w:val="3"/>
              </w:numPr>
              <w:spacing w:after="60" w:before="60"/>
            </w:pPr>
            <w:r>
              <w:rPr>
                <w:rFonts w:ascii="Arial" w:cs="Arial" w:eastAsia="Arial" w:hAnsi="Arial"/>
                <w:sz w:val="20"/>
                <w:szCs w:val="20"/>
              </w:rPr>
              <w:t xml:space="preserve">Según TIP_NATU del concepto, insertar en la tabla específica usando el COD_NOVED recién generado: NO_OCASI (OCASIONAL), NO_FIJAS (FIJA), NO_AUSEN (AUSENTISMO), NO_CAMBI (CAMBIO).</w:t>
            </w:r>
          </w:p>
          <w:p>
            <w:pPr>
              <w:pStyle w:val="ListParagraph"/>
              <w:numPr>
                <w:ilvl w:val="0"/>
                <w:numId w:val="3"/>
              </w:numPr>
              <w:spacing w:after="60" w:before="60"/>
            </w:pPr>
            <w:r>
              <w:rPr>
                <w:rFonts w:ascii="Arial" w:cs="Arial" w:eastAsia="Arial" w:hAnsi="Arial"/>
                <w:sz w:val="20"/>
                <w:szCs w:val="20"/>
              </w:rPr>
              <w:t xml:space="preserve">Registrar la operación en SEC.AUDIT_LOG con usuario, fecha, archivo fuente y campos insertados. Esto garantiza trazabilidad completa de origen de cada novedad.</w:t>
            </w:r>
          </w:p>
        </w:tc>
      </w:tr>
    </w:tbl>
    <w:p>
      <w:pPr>
        <w:spacing w:after="0" w:before="120"/>
      </w:pPr>
      <w:r>
        <w:t xml:space="preserve"/>
      </w:r>
    </w:p>
    <w:p>
      <w:pPr>
        <w:pStyle w:val="Heading2"/>
        <w:pBdr>
          <w:bottom w:val="single" w:color="2E5FAC" w:sz="8"/>
        </w:pBdr>
        <w:spacing w:after="120" w:before="280"/>
      </w:pPr>
      <w:r>
        <w:rPr>
          <w:rFonts w:ascii="Arial" w:cs="Arial" w:eastAsia="Arial" w:hAnsi="Arial"/>
          <w:b/>
          <w:bCs/>
          <w:color w:val="2E5FAC"/>
          <w:sz w:val="24"/>
          <w:szCs w:val="24"/>
        </w:rPr>
        <w:t xml:space="preserve">3.2 Mapeo completo: Archivo fuente → Tabla MineDax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Archivo Fuente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Campo Fuente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Tabla MineDax</w:t>
            </w:r>
          </w:p>
        </w:tc>
        <w:tc>
          <w:tcPr>
            <w:tcW w:type="dxa" w:w="276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Columna destino</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Formato HE (.xlsx)</w:t>
            </w:r>
          </w:p>
        </w:tc>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DOCUMENTO / CEDULA</w:t>
            </w:r>
          </w:p>
        </w:tc>
        <w:tc>
          <w:tcPr>
            <w:tcW w:type="dxa" w:w="200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NO_NOVED</w:t>
            </w:r>
          </w:p>
        </w:tc>
        <w:tc>
          <w:tcPr>
            <w:tcW w:type="dxa" w:w="276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COD_FUNCI (lookup M_CED)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Formato HE (.xlsx)</w:t>
            </w:r>
          </w:p>
        </w:tc>
        <w:tc>
          <w:tcPr>
            <w:tcW w:type="dxa" w:w="2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HEDO — cantidad horas</w:t>
            </w:r>
          </w:p>
        </w:tc>
        <w:tc>
          <w:tcPr>
            <w:tcW w:type="dxa" w:w="200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NO_OCASI</w:t>
            </w:r>
          </w:p>
        </w:tc>
        <w:tc>
          <w:tcPr>
            <w:tcW w:type="dxa" w:w="276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CANTIDAD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Formato HE (.xlsx)</w:t>
            </w:r>
          </w:p>
        </w:tc>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Tipo (HEDO→COD_CONC=10)</w:t>
            </w:r>
          </w:p>
        </w:tc>
        <w:tc>
          <w:tcPr>
            <w:tcW w:type="dxa" w:w="200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NO_NOVED</w:t>
            </w:r>
          </w:p>
        </w:tc>
        <w:tc>
          <w:tcPr>
            <w:tcW w:type="dxa" w:w="276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COD_CONC</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Novedades Exploración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CEDULA</w:t>
            </w:r>
          </w:p>
        </w:tc>
        <w:tc>
          <w:tcPr>
            <w:tcW w:type="dxa" w:w="200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NO_NOVED</w:t>
            </w:r>
          </w:p>
        </w:tc>
        <w:tc>
          <w:tcPr>
            <w:tcW w:type="dxa" w:w="276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COD_FUNCI</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Novedades Exploración</w:t>
            </w:r>
          </w:p>
        </w:tc>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cant HORA EXTRA DIURNA</w:t>
            </w:r>
          </w:p>
        </w:tc>
        <w:tc>
          <w:tcPr>
            <w:tcW w:type="dxa" w:w="200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NO_OCASI</w:t>
            </w:r>
          </w:p>
        </w:tc>
        <w:tc>
          <w:tcPr>
            <w:tcW w:type="dxa" w:w="276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CANTIDAD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Cobros Póliza Salud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ID EMPLEADO</w:t>
            </w:r>
          </w:p>
        </w:tc>
        <w:tc>
          <w:tcPr>
            <w:tcW w:type="dxa" w:w="200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NO_NOVED</w:t>
            </w:r>
          </w:p>
        </w:tc>
        <w:tc>
          <w:tcPr>
            <w:tcW w:type="dxa" w:w="276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COD_FUNCI</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Cobros Póliza Salud</w:t>
            </w:r>
          </w:p>
        </w:tc>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VALOR A DEDUCIR EMPLEADO</w:t>
            </w:r>
          </w:p>
        </w:tc>
        <w:tc>
          <w:tcPr>
            <w:tcW w:type="dxa" w:w="200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NO_FIJAS</w:t>
            </w:r>
          </w:p>
        </w:tc>
        <w:tc>
          <w:tcPr>
            <w:tcW w:type="dxa" w:w="276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VALOR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Cobros Póliza Salud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RECIBO (fecha período)</w:t>
            </w:r>
          </w:p>
        </w:tc>
        <w:tc>
          <w:tcPr>
            <w:tcW w:type="dxa" w:w="200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NO_FIJAS</w:t>
            </w:r>
          </w:p>
        </w:tc>
        <w:tc>
          <w:tcPr>
            <w:tcW w:type="dxa" w:w="276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FEC_INI / FEC_FIN</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Cobros Póliza Salud</w:t>
            </w:r>
          </w:p>
        </w:tc>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POLIZA + PRODUCTO</w:t>
            </w:r>
          </w:p>
        </w:tc>
        <w:tc>
          <w:tcPr>
            <w:tcW w:type="dxa" w:w="200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NO_NOVED</w:t>
            </w:r>
          </w:p>
        </w:tc>
        <w:tc>
          <w:tcPr>
            <w:tcW w:type="dxa" w:w="276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OBS_NOVED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FOR-PAY-022 (.xls)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C.C. No.</w:t>
            </w:r>
          </w:p>
        </w:tc>
        <w:tc>
          <w:tcPr>
            <w:tcW w:type="dxa" w:w="200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NO_NOVED</w:t>
            </w:r>
          </w:p>
        </w:tc>
        <w:tc>
          <w:tcPr>
            <w:tcW w:type="dxa" w:w="276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COD_FUNCI (lookup)</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FOR-PAY-022 (.xls)</w:t>
            </w:r>
          </w:p>
        </w:tc>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Fecha de Ingreso</w:t>
            </w:r>
          </w:p>
        </w:tc>
        <w:tc>
          <w:tcPr>
            <w:tcW w:type="dxa" w:w="200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NO_NOVED</w:t>
            </w:r>
          </w:p>
        </w:tc>
        <w:tc>
          <w:tcPr>
            <w:tcW w:type="dxa" w:w="276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FEC_INI</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FOR-PAY-022 (.xls)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Cargo</w:t>
            </w:r>
          </w:p>
        </w:tc>
        <w:tc>
          <w:tcPr>
            <w:tcW w:type="dxa" w:w="200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NO_CAMBI</w:t>
            </w:r>
          </w:p>
        </w:tc>
        <w:tc>
          <w:tcPr>
            <w:tcW w:type="dxa" w:w="276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VALOR_NUEVO</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FOR-PAY-022 (.xls)</w:t>
            </w:r>
          </w:p>
        </w:tc>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Sueldo Básico</w:t>
            </w:r>
          </w:p>
        </w:tc>
        <w:tc>
          <w:tcPr>
            <w:tcW w:type="dxa" w:w="200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NO_CAMBI</w:t>
            </w:r>
          </w:p>
        </w:tc>
        <w:tc>
          <w:tcPr>
            <w:tcW w:type="dxa" w:w="276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VALOR_NUEVO (COD_CONC=85)</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PDF Permiso (texto)</w:t>
            </w:r>
          </w:p>
        </w:tc>
        <w:tc>
          <w:tcPr>
            <w:tcW w:type="dxa" w:w="2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Cedula: XXXXXXXXXX</w:t>
            </w:r>
          </w:p>
        </w:tc>
        <w:tc>
          <w:tcPr>
            <w:tcW w:type="dxa" w:w="200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NO_NOVED</w:t>
            </w:r>
          </w:p>
        </w:tc>
        <w:tc>
          <w:tcPr>
            <w:tcW w:type="dxa" w:w="276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COD_FUNCI (lookup)</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PDF Permiso (texto)</w:t>
            </w:r>
          </w:p>
        </w:tc>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Fecha De / Hasta</w:t>
            </w:r>
          </w:p>
        </w:tc>
        <w:tc>
          <w:tcPr>
            <w:tcW w:type="dxa" w:w="200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NO_AUSEN</w:t>
            </w:r>
          </w:p>
        </w:tc>
        <w:tc>
          <w:tcPr>
            <w:tcW w:type="dxa" w:w="276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FEC_INI / FEC_FIN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PDF Permiso (texto)</w:t>
            </w:r>
          </w:p>
        </w:tc>
        <w:tc>
          <w:tcPr>
            <w:tcW w:type="dxa" w:w="2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Total de Dias / Horas</w:t>
            </w:r>
          </w:p>
        </w:tc>
        <w:tc>
          <w:tcPr>
            <w:tcW w:type="dxa" w:w="200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NO_AUSEN</w:t>
            </w:r>
          </w:p>
        </w:tc>
        <w:tc>
          <w:tcPr>
            <w:tcW w:type="dxa" w:w="276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DIAS_TOTAL</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PDF Permiso (texto)</w:t>
            </w:r>
          </w:p>
        </w:tc>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Tipo: Remunerado</w:t>
            </w:r>
          </w:p>
        </w:tc>
        <w:tc>
          <w:tcPr>
            <w:tcW w:type="dxa" w:w="200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NO_NOVED</w:t>
            </w:r>
          </w:p>
        </w:tc>
        <w:tc>
          <w:tcPr>
            <w:tcW w:type="dxa" w:w="276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COD_CONC (→68 Permiso Rem.)</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PDF Vacaciones (OCR)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Nombre empleado</w:t>
            </w:r>
          </w:p>
        </w:tc>
        <w:tc>
          <w:tcPr>
            <w:tcW w:type="dxa" w:w="200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NO_NOVED</w:t>
            </w:r>
          </w:p>
        </w:tc>
        <w:tc>
          <w:tcPr>
            <w:tcW w:type="dxa" w:w="276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COD_FUNCI (lookup M_NOMB)</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PDF Vacaciones (OCR)</w:t>
            </w:r>
          </w:p>
        </w:tc>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000000"/>
                <w:sz w:val="17"/>
                <w:szCs w:val="17"/>
              </w:rPr>
              <w:t xml:space="preserve">Fecha inicio/fin</w:t>
            </w:r>
          </w:p>
        </w:tc>
        <w:tc>
          <w:tcPr>
            <w:tcW w:type="dxa" w:w="200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NO_AUSEN</w:t>
            </w:r>
          </w:p>
        </w:tc>
        <w:tc>
          <w:tcPr>
            <w:tcW w:type="dxa" w:w="276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FEC_INI / FEC_FIN</w:t>
            </w:r>
          </w:p>
        </w:tc>
      </w:tr>
    </w:tbl>
    <w:p>
      <w:pPr>
        <w:spacing w:after="0" w:before="160"/>
      </w:pPr>
      <w:r>
        <w:t xml:space="preserve"/>
      </w:r>
    </w:p>
    <w:p>
      <w:pPr>
        <w:pStyle w:val="Heading2"/>
        <w:pBdr>
          <w:bottom w:val="single" w:color="2E5FAC" w:sz="8"/>
        </w:pBdr>
        <w:spacing w:after="120" w:before="280"/>
      </w:pPr>
      <w:r>
        <w:rPr>
          <w:rFonts w:ascii="Arial" w:cs="Arial" w:eastAsia="Arial" w:hAnsi="Arial"/>
          <w:b/>
          <w:bCs/>
          <w:color w:val="2E5FAC"/>
          <w:sz w:val="24"/>
          <w:szCs w:val="24"/>
        </w:rPr>
        <w:t xml:space="preserve">3.3 Estructura de NO_NOVED como tabla central</w:t>
      </w:r>
    </w:p>
    <w:p>
      <w:pPr>
        <w:spacing w:after="80" w:before="80"/>
      </w:pPr>
      <w:r>
        <w:rPr>
          <w:rFonts w:ascii="Arial" w:cs="Arial" w:eastAsia="Arial" w:hAnsi="Arial"/>
          <w:sz w:val="20"/>
          <w:szCs w:val="20"/>
        </w:rPr>
        <w:t xml:space="preserve">La tabla NO_NOVED es el hub de todas las novedades. Cada registro en esta tabla tiene un COD_NOVED que actúa como llave primaria y es referenciado por las tablas específicas (NO_OCASI, NO_FIJAS, NO_AUSEN, NO_CAMBI). El sistema siempre inserta primero en NO_NOVED y luego en la tabla de detalle, dentro de una transacción ACID para garantizar integridad.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12"/>
              <w:left w:val="single" w:color="2E5FAC" w:sz="12"/>
              <w:bottom w:val="single" w:color="CCCCCC" w:sz="4"/>
              <w:right w:val="single" w:color="CCCCCC" w:sz="4"/>
            </w:tcBorders>
            <w:shd w:fill="D6E4F7" w:val="clear"/>
            <w:tcMar>
              <w:top w:type="dxa" w:w="120"/>
              <w:left w:type="dxa" w:w="160"/>
              <w:bottom w:type="dxa" w:w="120"/>
              <w:right w:type="dxa" w:w="160"/>
            </w:tcMar>
          </w:tcPr>
          <w:p>
            <w:r>
              <w:rPr>
                <w:rFonts w:ascii="Arial" w:cs="Arial" w:eastAsia="Arial" w:hAnsi="Arial"/>
                <w:b/>
                <w:bCs/>
                <w:color w:val="2E5FAC"/>
                <w:sz w:val="20"/>
                <w:szCs w:val="20"/>
              </w:rPr>
              <w:t xml:space="preserve">Período activo detectado:  </w:t>
            </w:r>
            <w:r>
              <w:rPr>
                <w:rFonts w:ascii="Arial" w:cs="Arial" w:eastAsia="Arial" w:hAnsi="Arial"/>
                <w:sz w:val="20"/>
                <w:szCs w:val="20"/>
              </w:rPr>
              <w:t xml:space="preserve">MineDax tiene actualmente 7 períodos registrados en NO_PERIOD. El sistema seleccionará automáticamente el período cuya PER_FINI sea mayor o igual a la fecha actual y PER_EST='I', o el período que el usuario seleccione manualmente desde la interfaz.</w:t>
            </w:r>
          </w:p>
        </w:tc>
      </w:tr>
    </w:tbl>
    <w:p>
      <w:pPr>
        <w:spacing w:after="0" w:before="200"/>
      </w:pPr>
      <w:r>
        <w:t xml:space="preserve"/>
      </w:r>
    </w:p>
    <w:p>
      <w:r>
        <w:br w:type="page"/>
      </w:r>
    </w:p>
    <w:p>
      <w:pPr>
        <w:pStyle w:val="Heading1"/>
        <w:shd w:fill="1F3864" w:val="clear"/>
        <w:spacing w:after="160" w:before="360"/>
        <w:ind w:left="160" w:right="160"/>
      </w:pPr>
      <w:r>
        <w:rPr>
          <w:rFonts w:ascii="Arial" w:cs="Arial" w:eastAsia="Arial" w:hAnsi="Arial"/>
          <w:b/>
          <w:bCs/>
          <w:color w:val="FFFFFF"/>
          <w:sz w:val="28"/>
          <w:szCs w:val="28"/>
        </w:rPr>
        <w:t xml:space="preserve">4. El Alias Map — Pieza Central del Sistema sin Costo</w:t>
      </w:r>
    </w:p>
    <w:p>
      <w:pPr>
        <w:spacing w:after="0" w:before="80"/>
      </w:pPr>
      <w:r>
        <w:t xml:space="preserve"/>
      </w:r>
    </w:p>
    <w:p>
      <w:pPr>
        <w:spacing w:after="80" w:before="80"/>
      </w:pPr>
      <w:r>
        <w:rPr>
          <w:rFonts w:ascii="Arial" w:cs="Arial" w:eastAsia="Arial" w:hAnsi="Arial"/>
          <w:sz w:val="20"/>
          <w:szCs w:val="20"/>
        </w:rPr>
        <w:t xml:space="preserve">El alias_map.json es el mecanismo que reemplaza al LLM para la identificación de campos. Es un archivo de texto plano que cualquier persona del equipo puede abrir con el Bloc de notas o Excel y editar sin conocimientos técnicos. Cuando aparece un formato nuevo o un campo con un nombre diferente, simplemente se agrega el nuevo alias al diccionario — sin tocar el código del sistema.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12"/>
              <w:left w:val="single" w:color="1A6B2A" w:sz="12"/>
              <w:bottom w:val="single" w:color="CCCCCC" w:sz="4"/>
              <w:right w:val="single" w:color="CCCCCC" w:sz="4"/>
            </w:tcBorders>
            <w:shd w:fill="E8F5EC" w:val="clear"/>
            <w:tcMar>
              <w:top w:type="dxa" w:w="120"/>
              <w:left w:type="dxa" w:w="160"/>
              <w:bottom w:type="dxa" w:w="120"/>
              <w:right w:type="dxa" w:w="160"/>
            </w:tcMar>
          </w:tcPr>
          <w:p>
            <w:r>
              <w:rPr>
                <w:rFonts w:ascii="Arial" w:cs="Arial" w:eastAsia="Arial" w:hAnsi="Arial"/>
                <w:b/>
                <w:bCs/>
                <w:color w:val="1A6B2A"/>
                <w:sz w:val="20"/>
                <w:szCs w:val="20"/>
              </w:rPr>
              <w:t xml:space="preserve">Principio de mantenimiento:  </w:t>
            </w:r>
            <w:r>
              <w:rPr>
                <w:rFonts w:ascii="Arial" w:cs="Arial" w:eastAsia="Arial" w:hAnsi="Arial"/>
                <w:sz w:val="20"/>
                <w:szCs w:val="20"/>
              </w:rPr>
              <w:t xml:space="preserve">Cuando el sistema detecta un campo no reconocido (fuzzy &lt; 80%), la interfaz pregunta: '¿Este campo qué representa?' El usuario selecciona de un desplegable (cédula, nombre, cantidad horas, valor, etc.) y el sistema guarda automáticamente el nuevo alias en alias_map.json. La próxima vez que aparezca ese campo, ya se reconoce solo.</w:t>
            </w:r>
          </w:p>
        </w:tc>
      </w:tr>
    </w:tbl>
    <w:p>
      <w:pPr>
        <w:spacing w:after="0" w:before="120"/>
      </w:pPr>
      <w:r>
        <w:t xml:space="preserve"/>
      </w:r>
    </w:p>
    <w:p>
      <w:pPr>
        <w:pStyle w:val="Heading2"/>
        <w:pBdr>
          <w:bottom w:val="single" w:color="2E5FAC" w:sz="8"/>
        </w:pBdr>
        <w:spacing w:after="120" w:before="280"/>
      </w:pPr>
      <w:r>
        <w:rPr>
          <w:rFonts w:ascii="Arial" w:cs="Arial" w:eastAsia="Arial" w:hAnsi="Arial"/>
          <w:b/>
          <w:bCs/>
          <w:color w:val="2E5FAC"/>
          <w:sz w:val="24"/>
          <w:szCs w:val="24"/>
        </w:rPr>
        <w:t xml:space="preserve">4.1 Estructura del alias_map y heurísticas por campo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1800"/>
        <w:gridCol w:w="288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Campo ADECCO / MineDax</w:t>
            </w:r>
          </w:p>
        </w:tc>
        <w:tc>
          <w:tcPr>
            <w:tcW w:type="dxa" w:w="228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Alias reconocidos (ejemplos)</w:t>
            </w:r>
          </w:p>
        </w:tc>
        <w:tc>
          <w:tcPr>
            <w:tcW w:type="dxa" w:w="180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Tipo Python</w:t>
            </w:r>
          </w:p>
        </w:tc>
        <w:tc>
          <w:tcPr>
            <w:tcW w:type="dxa" w:w="288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Heurística de validación</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COD_FUNCI (cédula)</w:t>
            </w:r>
          </w:p>
        </w:tc>
        <w:tc>
          <w:tcPr>
            <w:tcW w:type="dxa" w:w="22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444444"/>
                <w:sz w:val="17"/>
                <w:szCs w:val="17"/>
              </w:rPr>
              <w:t xml:space="preserve">DOCUMENTO, CEDULA, C.C. No., ID EMPLEADO, M_CED, cedula empleado</w:t>
            </w:r>
          </w:p>
        </w:tc>
        <w:tc>
          <w:tcPr>
            <w:tcW w:type="dxa" w:w="18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2E5FAC"/>
                <w:sz w:val="17"/>
                <w:szCs w:val="17"/>
              </w:rPr>
              <w:t xml:space="preserve">int 7-10 dígitos</w:t>
            </w:r>
          </w:p>
        </w:tc>
        <w:tc>
          <w:tcPr>
            <w:tcW w:type="dxa" w:w="28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re.match(r'^[0-9]{6,12}$', v)</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M_NOMB (nombre)</w:t>
            </w:r>
          </w:p>
        </w:tc>
        <w:tc>
          <w:tcPr>
            <w:tcW w:type="dxa" w:w="22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444444"/>
                <w:sz w:val="17"/>
                <w:szCs w:val="17"/>
              </w:rPr>
              <w:t xml:space="preserve">NOMBRE DEL EMPLEADO, NOMBRE EL COLABORADOR, NOMBRE EMPLEADO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2E5FAC"/>
                <w:sz w:val="17"/>
                <w:szCs w:val="17"/>
              </w:rPr>
              <w:t xml:space="preserve">str MAYÚSCULAS</w:t>
            </w:r>
          </w:p>
        </w:tc>
        <w:tc>
          <w:tcPr>
            <w:tcW w:type="dxa" w:w="28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len(v.split())&gt;=2 &amp; v.isupper()</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FEC_INI</w:t>
            </w:r>
          </w:p>
        </w:tc>
        <w:tc>
          <w:tcPr>
            <w:tcW w:type="dxa" w:w="22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444444"/>
                <w:sz w:val="17"/>
                <w:szCs w:val="17"/>
              </w:rPr>
              <w:t xml:space="preserve">FECHA PERMISO DE, FECHA INICIO, De:, FEC_REGI, FECHA ING</w:t>
            </w:r>
          </w:p>
        </w:tc>
        <w:tc>
          <w:tcPr>
            <w:tcW w:type="dxa" w:w="18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2E5FAC"/>
                <w:sz w:val="17"/>
                <w:szCs w:val="17"/>
              </w:rPr>
              <w:t xml:space="preserve">datetime</w:t>
            </w:r>
          </w:p>
        </w:tc>
        <w:tc>
          <w:tcPr>
            <w:tcW w:type="dxa" w:w="28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pd.to_datetime(v, dayfirst=True)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FEC_FIN</w:t>
            </w:r>
          </w:p>
        </w:tc>
        <w:tc>
          <w:tcPr>
            <w:tcW w:type="dxa" w:w="22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444444"/>
                <w:sz w:val="17"/>
                <w:szCs w:val="17"/>
              </w:rPr>
              <w:t xml:space="preserve">FECHA PERMISO HASTA, FECHA FIN, Hasta:, FECHA RET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2E5FAC"/>
                <w:sz w:val="17"/>
                <w:szCs w:val="17"/>
              </w:rPr>
              <w:t xml:space="preserve">datetime</w:t>
            </w:r>
          </w:p>
        </w:tc>
        <w:tc>
          <w:tcPr>
            <w:tcW w:type="dxa" w:w="28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FEC_FIN &gt;= FEC_INI</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CANTIDAD (horas)</w:t>
            </w:r>
          </w:p>
        </w:tc>
        <w:tc>
          <w:tcPr>
            <w:tcW w:type="dxa" w:w="22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444444"/>
                <w:sz w:val="17"/>
                <w:szCs w:val="17"/>
              </w:rPr>
              <w:t xml:space="preserve">HEDO, HENO, cant HORA EXTRA, CANTIDAD HORAS, cant RECARGO</w:t>
            </w:r>
          </w:p>
        </w:tc>
        <w:tc>
          <w:tcPr>
            <w:tcW w:type="dxa" w:w="18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2E5FAC"/>
                <w:sz w:val="17"/>
                <w:szCs w:val="17"/>
              </w:rPr>
              <w:t xml:space="preserve">float</w:t>
            </w:r>
          </w:p>
        </w:tc>
        <w:tc>
          <w:tcPr>
            <w:tcW w:type="dxa" w:w="28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0 &lt; v &lt; 300</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VALOR</w:t>
            </w:r>
          </w:p>
        </w:tc>
        <w:tc>
          <w:tcPr>
            <w:tcW w:type="dxa" w:w="22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444444"/>
                <w:sz w:val="17"/>
                <w:szCs w:val="17"/>
              </w:rPr>
              <w:t xml:space="preserve">VALOR A DEDUCIR, SUELDO BÁSICO, SALARIO, valor, VALOR MENSUAL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2E5FAC"/>
                <w:sz w:val="17"/>
                <w:szCs w:val="17"/>
              </w:rPr>
              <w:t xml:space="preserve">float</w:t>
            </w:r>
          </w:p>
        </w:tc>
        <w:tc>
          <w:tcPr>
            <w:tcW w:type="dxa" w:w="28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v &gt; 0</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COD_CONC (novedad)</w:t>
            </w:r>
          </w:p>
        </w:tc>
        <w:tc>
          <w:tcPr>
            <w:tcW w:type="dxa" w:w="22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444444"/>
                <w:sz w:val="17"/>
                <w:szCs w:val="17"/>
              </w:rPr>
              <w:t xml:space="preserve">Tipo novedad, Ausentismo, Cambio, Novedad, TIPO PERMISO</w:t>
            </w:r>
          </w:p>
        </w:tc>
        <w:tc>
          <w:tcPr>
            <w:tcW w:type="dxa" w:w="18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2E5FAC"/>
                <w:sz w:val="17"/>
                <w:szCs w:val="17"/>
              </w:rPr>
              <w:t xml:space="preserve">str→lookup</w:t>
            </w:r>
          </w:p>
        </w:tc>
        <w:tc>
          <w:tcPr>
            <w:tcW w:type="dxa" w:w="28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JOIN con NO_CONCE.NOM_CONC</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OBS_NOVED</w:t>
            </w:r>
          </w:p>
        </w:tc>
        <w:tc>
          <w:tcPr>
            <w:tcW w:type="dxa" w:w="22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444444"/>
                <w:sz w:val="17"/>
                <w:szCs w:val="17"/>
              </w:rPr>
              <w:t xml:space="preserve">OBSERVACIONES, observaciones, MOTIVO, EXPLICACION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2E5FAC"/>
                <w:sz w:val="17"/>
                <w:szCs w:val="17"/>
              </w:rPr>
              <w:t xml:space="preserve">str libre</w:t>
            </w:r>
          </w:p>
        </w:tc>
        <w:tc>
          <w:tcPr>
            <w:tcW w:type="dxa" w:w="28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len(v) &lt;= 500</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DIAS_TOTAL</w:t>
            </w:r>
          </w:p>
        </w:tc>
        <w:tc>
          <w:tcPr>
            <w:tcW w:type="dxa" w:w="22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444444"/>
                <w:sz w:val="17"/>
                <w:szCs w:val="17"/>
              </w:rPr>
              <w:t xml:space="preserve">DIAS TOTALES, Total de Dias, DIAS TRABAJADOS</w:t>
            </w:r>
          </w:p>
        </w:tc>
        <w:tc>
          <w:tcPr>
            <w:tcW w:type="dxa" w:w="18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2E5FAC"/>
                <w:sz w:val="17"/>
                <w:szCs w:val="17"/>
              </w:rPr>
              <w:t xml:space="preserve">int</w:t>
            </w:r>
          </w:p>
        </w:tc>
        <w:tc>
          <w:tcPr>
            <w:tcW w:type="dxa" w:w="28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0 &lt; v &lt;= 365</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DIAGNOSTICO</w:t>
            </w:r>
          </w:p>
        </w:tc>
        <w:tc>
          <w:tcPr>
            <w:tcW w:type="dxa" w:w="22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444444"/>
                <w:sz w:val="17"/>
                <w:szCs w:val="17"/>
              </w:rPr>
              <w:t xml:space="preserve">diagnostico, CIE-10, DIAGNOSTICO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2E5FAC"/>
                <w:sz w:val="17"/>
                <w:szCs w:val="17"/>
              </w:rPr>
              <w:t xml:space="preserve">str</w:t>
            </w:r>
          </w:p>
        </w:tc>
        <w:tc>
          <w:tcPr>
            <w:tcW w:type="dxa" w:w="28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len(v) &lt;= 10</w:t>
            </w:r>
          </w:p>
        </w:tc>
      </w:tr>
    </w:tbl>
    <w:p>
      <w:pPr>
        <w:spacing w:after="0" w:before="160"/>
      </w:pPr>
      <w:r>
        <w:t xml:space="preserve"/>
      </w:r>
    </w:p>
    <w:p>
      <w:pPr>
        <w:pStyle w:val="Heading2"/>
        <w:pBdr>
          <w:bottom w:val="single" w:color="2E5FAC" w:sz="8"/>
        </w:pBdr>
        <w:spacing w:after="120" w:before="280"/>
      </w:pPr>
      <w:r>
        <w:rPr>
          <w:rFonts w:ascii="Arial" w:cs="Arial" w:eastAsia="Arial" w:hAnsi="Arial"/>
          <w:b/>
          <w:bCs/>
          <w:color w:val="2E5FAC"/>
          <w:sz w:val="24"/>
          <w:szCs w:val="24"/>
        </w:rPr>
        <w:t xml:space="preserve">4.2 Cómo se actualiza cuando cambia un formato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4"/>
              <w:bottom w:val="single" w:color="1A6B2A" w:sz="4"/>
              <w:right w:val="single" w:color="1A6B2A" w:sz="4"/>
            </w:tcBorders>
            <w:shd w:fill="1A6B2A" w:val="clear"/>
            <w:tcMar>
              <w:top w:type="dxa" w:w="80"/>
              <w:left w:type="dxa" w:w="160"/>
              <w:bottom w:type="dxa" w:w="80"/>
              <w:right w:type="dxa" w:w="160"/>
            </w:tcMar>
          </w:tcPr>
          <w:p>
            <w:r>
              <w:rPr>
                <w:rFonts w:ascii="Arial" w:cs="Arial" w:eastAsia="Arial" w:hAnsi="Arial"/>
                <w:b/>
                <w:bCs/>
                <w:color w:val="FFFFFF"/>
                <w:sz w:val="22"/>
                <w:szCs w:val="22"/>
              </w:rPr>
              <w:t xml:space="preserve">Escenario: el proveedor de pólizas cambia 'ID EMPLEADO' por 'NRO. IDENTIFICACIÓN'</w:t>
            </w:r>
          </w:p>
        </w:tc>
      </w:tr>
      <w:tr>
        <w:tc>
          <w:tcPr>
            <w:tcW w:type="dxa" w:w="9360"/>
            <w:tcBorders>
              <w:top w:val="single" w:color="1A6B2A" w:sz="4"/>
              <w:left w:val="single" w:color="1A6B2A" w:sz="4"/>
              <w:bottom w:val="single" w:color="1A6B2A" w:sz="4"/>
              <w:right w:val="single" w:color="1A6B2A" w:sz="4"/>
            </w:tcBorders>
            <w:shd w:fill="E8F5EC" w:val="clear"/>
            <w:tcMar>
              <w:top w:type="dxa" w:w="120"/>
              <w:left w:type="dxa" w:w="200"/>
              <w:bottom w:type="dxa" w:w="120"/>
              <w:right w:type="dxa" w:w="200"/>
            </w:tcMar>
          </w:tcPr>
          <w:p>
            <w:pPr>
              <w:spacing w:after="80" w:before="80"/>
            </w:pPr>
            <w:r>
              <w:rPr>
                <w:rFonts w:ascii="Arial" w:cs="Arial" w:eastAsia="Arial" w:hAnsi="Arial"/>
                <w:sz w:val="20"/>
                <w:szCs w:val="20"/>
              </w:rPr>
              <w:t xml:space="preserve">Sin el alias map, un sistema con reglas fijas fallaría. Con el alias map:</w:t>
            </w:r>
          </w:p>
          <w:p>
            <w:pPr>
              <w:pStyle w:val="ListParagraph"/>
              <w:numPr>
                <w:ilvl w:val="0"/>
                <w:numId w:val="2"/>
              </w:numPr>
              <w:spacing w:after="60" w:before="60"/>
            </w:pPr>
            <w:r>
              <w:rPr>
                <w:rFonts w:ascii="Arial" w:cs="Arial" w:eastAsia="Arial" w:hAnsi="Arial"/>
                <w:sz w:val="20"/>
                <w:szCs w:val="20"/>
              </w:rPr>
              <w:t xml:space="preserve">El sistema intenta el lookup exacto → no encuentra 'NRO. IDENTIFICACIÓN' en alias_map.</w:t>
            </w:r>
          </w:p>
          <w:p>
            <w:pPr>
              <w:pStyle w:val="ListParagraph"/>
              <w:numPr>
                <w:ilvl w:val="0"/>
                <w:numId w:val="2"/>
              </w:numPr>
              <w:spacing w:after="60" w:before="60"/>
            </w:pPr>
            <w:r>
              <w:rPr>
                <w:rFonts w:ascii="Arial" w:cs="Arial" w:eastAsia="Arial" w:hAnsi="Arial"/>
                <w:sz w:val="20"/>
                <w:szCs w:val="20"/>
              </w:rPr>
              <w:t xml:space="preserve">Aplica fuzzy matching → similitud con 'ID EMPLEADO' es 62% (insuficiente). Marca el campo como 'no reconocido'.</w:t>
            </w:r>
          </w:p>
          <w:p>
            <w:pPr>
              <w:pStyle w:val="ListParagraph"/>
              <w:numPr>
                <w:ilvl w:val="0"/>
                <w:numId w:val="2"/>
              </w:numPr>
              <w:spacing w:after="60" w:before="60"/>
            </w:pPr>
            <w:r>
              <w:rPr>
                <w:rFonts w:ascii="Arial" w:cs="Arial" w:eastAsia="Arial" w:hAnsi="Arial"/>
                <w:sz w:val="20"/>
                <w:szCs w:val="20"/>
              </w:rPr>
              <w:t xml:space="preserve">La interfaz muestra: 'El campo "NRO. IDENTIFICACIÓN" no fue reconocido. ¿Qué representa?' con desplegable.</w:t>
            </w:r>
          </w:p>
          <w:p>
            <w:pPr>
              <w:pStyle w:val="ListParagraph"/>
              <w:numPr>
                <w:ilvl w:val="0"/>
                <w:numId w:val="2"/>
              </w:numPr>
              <w:spacing w:after="60" w:before="60"/>
            </w:pPr>
            <w:r>
              <w:rPr>
                <w:rFonts w:ascii="Arial" w:cs="Arial" w:eastAsia="Arial" w:hAnsi="Arial"/>
                <w:sz w:val="20"/>
                <w:szCs w:val="20"/>
              </w:rPr>
              <w:t xml:space="preserve">El usuario selecciona 'Cédula / COD_FUNCI' → el sistema agrega 'nro identificacion': 'COD_FUNCI' al alias_map.json.</w:t>
            </w:r>
          </w:p>
          <w:p>
            <w:pPr>
              <w:pStyle w:val="ListParagraph"/>
              <w:numPr>
                <w:ilvl w:val="0"/>
                <w:numId w:val="2"/>
              </w:numPr>
              <w:spacing w:after="60" w:before="60"/>
            </w:pPr>
            <w:r>
              <w:rPr>
                <w:rFonts w:ascii="Arial" w:cs="Arial" w:eastAsia="Arial" w:hAnsi="Arial"/>
                <w:sz w:val="20"/>
                <w:szCs w:val="20"/>
              </w:rPr>
              <w:t xml:space="preserve">En la siguiente quincena, el campo se reconoce automáticamente con confianza 100%.</w:t>
            </w:r>
          </w:p>
          <w:p>
            <w:pPr>
              <w:spacing w:after="0" w:before="60"/>
            </w:pPr>
            <w:r>
              <w:t xml:space="preserve"/>
            </w:r>
          </w:p>
          <w:p>
            <w:pPr>
              <w:spacing w:after="80" w:before="80"/>
            </w:pPr>
            <w:r>
              <w:rPr>
                <w:rFonts w:ascii="Arial" w:cs="Arial" w:eastAsia="Arial" w:hAnsi="Arial"/>
                <w:sz w:val="20"/>
                <w:szCs w:val="20"/>
              </w:rPr>
              <w:t xml:space="preserve">Este ciclo de aprendizaje tiene costo $0 y requiere menos de 30 segundos de intervención del usuario.</w:t>
            </w:r>
          </w:p>
        </w:tc>
      </w:tr>
    </w:tbl>
    <w:p>
      <w:pPr>
        <w:spacing w:after="0" w:before="200"/>
      </w:pPr>
      <w:r>
        <w:t xml:space="preserve"/>
      </w:r>
    </w:p>
    <w:p>
      <w:r>
        <w:br w:type="page"/>
      </w:r>
    </w:p>
    <w:p>
      <w:pPr>
        <w:pStyle w:val="Heading1"/>
        <w:shd w:fill="1F3864" w:val="clear"/>
        <w:spacing w:after="160" w:before="360"/>
        <w:ind w:left="160" w:right="160"/>
      </w:pPr>
      <w:r>
        <w:rPr>
          <w:rFonts w:ascii="Arial" w:cs="Arial" w:eastAsia="Arial" w:hAnsi="Arial"/>
          <w:b/>
          <w:bCs/>
          <w:color w:val="FFFFFF"/>
          <w:sz w:val="28"/>
          <w:szCs w:val="28"/>
        </w:rPr>
        <w:t xml:space="preserve">5. Stack Tecnológico y Hoja de Ruta</w:t>
      </w:r>
    </w:p>
    <w:p>
      <w:pPr>
        <w:spacing w:after="0" w:before="80"/>
      </w:pPr>
      <w:r>
        <w:t xml:space="preserve"/>
      </w:r>
    </w:p>
    <w:p>
      <w:pPr>
        <w:pStyle w:val="Heading2"/>
        <w:pBdr>
          <w:bottom w:val="single" w:color="2E5FAC" w:sz="8"/>
        </w:pBdr>
        <w:spacing w:after="120" w:before="280"/>
      </w:pPr>
      <w:r>
        <w:rPr>
          <w:rFonts w:ascii="Arial" w:cs="Arial" w:eastAsia="Arial" w:hAnsi="Arial"/>
          <w:b/>
          <w:bCs/>
          <w:color w:val="2E5FAC"/>
          <w:sz w:val="24"/>
          <w:szCs w:val="24"/>
        </w:rPr>
        <w:t xml:space="preserve">5.1 Stack tecnológico — 100% gratuito y de código abierto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Componente</w:t>
            </w:r>
          </w:p>
        </w:tc>
        <w:tc>
          <w:tcPr>
            <w:tcW w:type="dxa" w:w="280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Librería / Tecnología</w:t>
            </w:r>
          </w:p>
        </w:tc>
        <w:tc>
          <w:tcPr>
            <w:tcW w:type="dxa" w:w="456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Rol y justificación</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Lectura Excel</w:t>
            </w:r>
          </w:p>
        </w:tc>
        <w:tc>
          <w:tcPr>
            <w:tcW w:type="dxa" w:w="280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pandas + openpyxl + xlrd</w:t>
            </w:r>
          </w:p>
        </w:tc>
        <w:tc>
          <w:tcPr>
            <w:tcW w:type="dxa" w:w="456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Lectura .xlsx y .xls. data_only=True para valores calculados de fórmulas. Sin costo, MIT license.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Lectura PDF texto</w:t>
            </w:r>
          </w:p>
        </w:tc>
        <w:tc>
          <w:tcPr>
            <w:tcW w:type="dxa" w:w="280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pdfplumber</w:t>
            </w:r>
          </w:p>
        </w:tc>
        <w:tc>
          <w:tcPr>
            <w:tcW w:type="dxa" w:w="456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Extracción de texto y tablas de PDFs con capa de texto. Sin costo, MIT license.</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OCR PDF imagen</w:t>
            </w:r>
          </w:p>
        </w:tc>
        <w:tc>
          <w:tcPr>
            <w:tcW w:type="dxa" w:w="280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pytesseract + OpenCV</w:t>
            </w:r>
          </w:p>
        </w:tc>
        <w:tc>
          <w:tcPr>
            <w:tcW w:type="dxa" w:w="456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OCR gratuito para PDFs escaneados. Requiere instalación local de Tesseract (gratuito).</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Detección de campos</w:t>
            </w:r>
          </w:p>
        </w:tc>
        <w:tc>
          <w:tcPr>
            <w:tcW w:type="dxa" w:w="280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rapidfuzz (fuzzy matching)</w:t>
            </w:r>
          </w:p>
        </w:tc>
        <w:tc>
          <w:tcPr>
            <w:tcW w:type="dxa" w:w="456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Comparación difusa de encabezados contra el alias_map.json. Costo $0, MIT license.</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Clasificación de concepto</w:t>
            </w:r>
          </w:p>
        </w:tc>
        <w:tc>
          <w:tcPr>
            <w:tcW w:type="dxa" w:w="280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Alias map local (JSON)</w:t>
            </w:r>
          </w:p>
        </w:tc>
        <w:tc>
          <w:tcPr>
            <w:tcW w:type="dxa" w:w="456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Diccionario editable que mapea texto fuente → COD_CONC de NO_CONCE. Actualizable sin código.</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Lookup de empleado</w:t>
            </w:r>
          </w:p>
        </w:tc>
        <w:tc>
          <w:tcPr>
            <w:tcW w:type="dxa" w:w="280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pyodbc → MineDax MAE_TERC</w:t>
            </w:r>
          </w:p>
        </w:tc>
        <w:tc>
          <w:tcPr>
            <w:tcW w:type="dxa" w:w="456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Consulta directa M_CED → COD_FUNCI. Usa la BD existente, sin dato externo.</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Escritura en BD</w:t>
            </w:r>
          </w:p>
        </w:tc>
        <w:tc>
          <w:tcPr>
            <w:tcW w:type="dxa" w:w="280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pyodbc → INSERT/UPDATE</w:t>
            </w:r>
          </w:p>
        </w:tc>
        <w:tc>
          <w:tcPr>
            <w:tcW w:type="dxa" w:w="456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INSERT directo a NO_NOVED + tabla específica (NO_OCASI, NO_FIJAS, etc.). Transaccional.</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Interfaz de usuario</w:t>
            </w:r>
          </w:p>
        </w:tc>
        <w:tc>
          <w:tcPr>
            <w:tcW w:type="dxa" w:w="2800"/>
            <w:tcBorders>
              <w:top w:val="single" w:color="CCCCCC" w:sz="4"/>
              <w:left w:val="single" w:color="CCCCCC" w:sz="4"/>
              <w:bottom w:val="single" w:color="CCCCCC" w:sz="4"/>
              <w:right w:val="single" w:color="CCCCCC" w:sz="4"/>
            </w:tcBorders>
            <w:shd w:fill="F5FFFE"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Streamlit (Python, $0)</w:t>
            </w:r>
          </w:p>
        </w:tc>
        <w:tc>
          <w:tcPr>
            <w:tcW w:type="dxa" w:w="456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Interfaz web local accesible en red interna. Gratuito, sin servidor en la nube.</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Registro de mapeos</w:t>
            </w:r>
          </w:p>
        </w:tc>
        <w:tc>
          <w:tcPr>
            <w:tcW w:type="dxa" w:w="2800"/>
            <w:tcBorders>
              <w:top w:val="single" w:color="CCCCCC" w:sz="4"/>
              <w:left w:val="single" w:color="CCCCCC" w:sz="4"/>
              <w:bottom w:val="single" w:color="CCCCCC" w:sz="4"/>
              <w:right w:val="single" w:color="CCCCCC" w:sz="4"/>
            </w:tcBorders>
            <w:shd w:fill="E0F5F5" w:val="clear"/>
            <w:tcMar>
              <w:top w:type="dxa" w:w="60"/>
              <w:left w:type="dxa" w:w="110"/>
              <w:bottom w:type="dxa" w:w="60"/>
              <w:right w:type="dxa" w:w="110"/>
            </w:tcMar>
            <w:vAlign w:val="center"/>
          </w:tcPr>
          <w:p>
            <w:pPr>
              <w:jc w:val="left"/>
            </w:pPr>
            <w:r>
              <w:rPr>
                <w:rFonts w:ascii="Arial" w:cs="Arial" w:eastAsia="Arial" w:hAnsi="Arial"/>
                <w:b/>
                <w:bCs/>
                <w:color w:val="0D6E6E"/>
                <w:sz w:val="17"/>
                <w:szCs w:val="17"/>
              </w:rPr>
              <w:t xml:space="preserve">JSON local + tabla MineDax</w:t>
            </w:r>
          </w:p>
        </w:tc>
        <w:tc>
          <w:tcPr>
            <w:tcW w:type="dxa" w:w="456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Historial de mapeos aprendidos almacenado en la propia BD. Sin infraestructura adicional.</w:t>
            </w:r>
          </w:p>
        </w:tc>
      </w:tr>
    </w:tbl>
    <w:p>
      <w:pPr>
        <w:spacing w:after="0" w:before="160"/>
      </w:pPr>
      <w:r>
        <w:t xml:space="preserve"/>
      </w:r>
    </w:p>
    <w:p>
      <w:pPr>
        <w:pStyle w:val="Heading2"/>
        <w:pBdr>
          <w:bottom w:val="single" w:color="2E5FAC" w:sz="8"/>
        </w:pBdr>
        <w:spacing w:after="120" w:before="280"/>
      </w:pPr>
      <w:r>
        <w:rPr>
          <w:rFonts w:ascii="Arial" w:cs="Arial" w:eastAsia="Arial" w:hAnsi="Arial"/>
          <w:b/>
          <w:bCs/>
          <w:color w:val="2E5FAC"/>
          <w:sz w:val="24"/>
          <w:szCs w:val="24"/>
        </w:rPr>
        <w:t xml:space="preserve">5.2 Hoja de ruta de implementación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rPr>
          <w:tblHeader/>
        </w:trPr>
        <w:tc>
          <w:tcPr>
            <w:tcW w:type="dxa" w:w="120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Fase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Tiempo</w:t>
            </w:r>
          </w:p>
        </w:tc>
        <w:tc>
          <w:tcPr>
            <w:tcW w:type="dxa" w:w="336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Entregable</w:t>
            </w:r>
          </w:p>
        </w:tc>
        <w:tc>
          <w:tcPr>
            <w:tcW w:type="dxa" w:w="280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Impacto</w:t>
            </w:r>
          </w:p>
        </w:tc>
      </w:tr>
      <w:tr>
        <w:tc>
          <w:tcPr>
            <w:tcW w:type="dxa" w:w="1200"/>
            <w:tcBorders>
              <w:top w:val="single" w:color="CCCCCC" w:sz="4"/>
              <w:left w:val="single" w:color="CCCCCC" w:sz="4"/>
              <w:bottom w:val="single" w:color="CCCCCC" w:sz="4"/>
              <w:right w:val="single" w:color="CCCCCC" w:sz="4"/>
            </w:tcBorders>
            <w:shd w:fill="2E5FAC"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1</w:t>
            </w:r>
          </w:p>
        </w:tc>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1 semana</w:t>
            </w:r>
          </w:p>
        </w:tc>
        <w:tc>
          <w:tcPr>
            <w:tcW w:type="dxa" w:w="336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Extractor base: lector universal xlsx/xls/pdf-texto + heurísticas + alias_map.json inicial con los 6 formatos actuales. Output: CSV/preview para revisión.</w:t>
            </w:r>
          </w:p>
        </w:tc>
        <w:tc>
          <w:tcPr>
            <w:tcW w:type="dxa" w:w="2800"/>
            <w:tcBorders>
              <w:top w:val="single" w:color="CCCCCC" w:sz="4"/>
              <w:left w:val="single" w:color="CCCCCC" w:sz="4"/>
              <w:bottom w:val="single" w:color="CCCCCC" w:sz="4"/>
              <w:right w:val="single" w:color="CCCCCC" w:sz="4"/>
            </w:tcBorders>
            <w:shd w:fill="E8F5EC" w:val="clear"/>
            <w:tcMar>
              <w:top w:type="dxa" w:w="60"/>
              <w:left w:type="dxa" w:w="110"/>
              <w:bottom w:type="dxa" w:w="60"/>
              <w:right w:type="dxa" w:w="110"/>
            </w:tcMar>
            <w:vAlign w:val="center"/>
          </w:tcPr>
          <w:p>
            <w:pPr>
              <w:jc w:val="left"/>
            </w:pPr>
            <w:r>
              <w:rPr>
                <w:rFonts w:ascii="Arial" w:cs="Arial" w:eastAsia="Arial" w:hAnsi="Arial"/>
                <w:b w:val="false"/>
                <w:bCs w:val="false"/>
                <w:color w:val="1A6B2A"/>
                <w:sz w:val="17"/>
                <w:szCs w:val="17"/>
              </w:rPr>
              <w:t xml:space="preserve">Elimina transcripción manual de los 6 formatos conocidos. Ahorro ~4-6 hrs/quincena.</w:t>
            </w:r>
          </w:p>
        </w:tc>
      </w:tr>
      <w:tr>
        <w:tc>
          <w:tcPr>
            <w:tcW w:type="dxa" w:w="1200"/>
            <w:tcBorders>
              <w:top w:val="single" w:color="CCCCCC" w:sz="4"/>
              <w:left w:val="single" w:color="CCCCCC" w:sz="4"/>
              <w:bottom w:val="single" w:color="CCCCCC" w:sz="4"/>
              <w:right w:val="single" w:color="CCCCCC" w:sz="4"/>
            </w:tcBorders>
            <w:shd w:fill="2E5FAC"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1-2 semanas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Integración directa a MineDax: lookup de cédula en MAE_TERC, resolución de COD_CONC desde NO_CONCE, INSERT transaccional en NO_NOVED + tablas específicas.</w:t>
            </w:r>
          </w:p>
        </w:tc>
        <w:tc>
          <w:tcPr>
            <w:tcW w:type="dxa" w:w="2800"/>
            <w:tcBorders>
              <w:top w:val="single" w:color="CCCCCC" w:sz="4"/>
              <w:left w:val="single" w:color="CCCCCC" w:sz="4"/>
              <w:bottom w:val="single" w:color="CCCCCC" w:sz="4"/>
              <w:right w:val="single" w:color="CCCCCC" w:sz="4"/>
            </w:tcBorders>
            <w:shd w:fill="F5FFF8" w:val="clear"/>
            <w:tcMar>
              <w:top w:type="dxa" w:w="60"/>
              <w:left w:type="dxa" w:w="110"/>
              <w:bottom w:type="dxa" w:w="60"/>
              <w:right w:type="dxa" w:w="110"/>
            </w:tcMar>
            <w:vAlign w:val="center"/>
          </w:tcPr>
          <w:p>
            <w:pPr>
              <w:jc w:val="left"/>
            </w:pPr>
            <w:r>
              <w:rPr>
                <w:rFonts w:ascii="Arial" w:cs="Arial" w:eastAsia="Arial" w:hAnsi="Arial"/>
                <w:b w:val="false"/>
                <w:bCs w:val="false"/>
                <w:color w:val="1A6B2A"/>
                <w:sz w:val="17"/>
                <w:szCs w:val="17"/>
              </w:rPr>
              <w:t xml:space="preserve">Datos van directo a la BD sin intermediarios. Elimina el ADECCO como paso manual.</w:t>
            </w:r>
          </w:p>
        </w:tc>
      </w:tr>
      <w:tr>
        <w:tc>
          <w:tcPr>
            <w:tcW w:type="dxa" w:w="1200"/>
            <w:tcBorders>
              <w:top w:val="single" w:color="CCCCCC" w:sz="4"/>
              <w:left w:val="single" w:color="CCCCCC" w:sz="4"/>
              <w:bottom w:val="single" w:color="CCCCCC" w:sz="4"/>
              <w:right w:val="single" w:color="CCCCCC" w:sz="4"/>
            </w:tcBorders>
            <w:shd w:fill="2E5FAC"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3</w:t>
            </w:r>
          </w:p>
        </w:tc>
        <w:tc>
          <w:tcPr>
            <w:tcW w:type="dxa" w:w="20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1 semana</w:t>
            </w:r>
          </w:p>
        </w:tc>
        <w:tc>
          <w:tcPr>
            <w:tcW w:type="dxa" w:w="336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Interfaz Streamlit: carga de archivo, vista previa del mapeo detectado, indicadores de confianza por campo, botón de confirmación y registro de auditoría en MineDax.</w:t>
            </w:r>
          </w:p>
        </w:tc>
        <w:tc>
          <w:tcPr>
            <w:tcW w:type="dxa" w:w="2800"/>
            <w:tcBorders>
              <w:top w:val="single" w:color="CCCCCC" w:sz="4"/>
              <w:left w:val="single" w:color="CCCCCC" w:sz="4"/>
              <w:bottom w:val="single" w:color="CCCCCC" w:sz="4"/>
              <w:right w:val="single" w:color="CCCCCC" w:sz="4"/>
            </w:tcBorders>
            <w:shd w:fill="E8F5EC" w:val="clear"/>
            <w:tcMar>
              <w:top w:type="dxa" w:w="60"/>
              <w:left w:type="dxa" w:w="110"/>
              <w:bottom w:type="dxa" w:w="60"/>
              <w:right w:type="dxa" w:w="110"/>
            </w:tcMar>
            <w:vAlign w:val="center"/>
          </w:tcPr>
          <w:p>
            <w:pPr>
              <w:jc w:val="left"/>
            </w:pPr>
            <w:r>
              <w:rPr>
                <w:rFonts w:ascii="Arial" w:cs="Arial" w:eastAsia="Arial" w:hAnsi="Arial"/>
                <w:b w:val="false"/>
                <w:bCs w:val="false"/>
                <w:color w:val="1A6B2A"/>
                <w:sz w:val="17"/>
                <w:szCs w:val="17"/>
              </w:rPr>
              <w:t xml:space="preserve">Usuarios no técnicos operan el sistema con revisión de 2 minutos por archivo.</w:t>
            </w:r>
          </w:p>
        </w:tc>
      </w:tr>
      <w:tr>
        <w:tc>
          <w:tcPr>
            <w:tcW w:type="dxa" w:w="1200"/>
            <w:tcBorders>
              <w:top w:val="single" w:color="CCCCCC" w:sz="4"/>
              <w:left w:val="single" w:color="CCCCCC" w:sz="4"/>
              <w:bottom w:val="single" w:color="CCCCCC" w:sz="4"/>
              <w:right w:val="single" w:color="CCCCCC" w:sz="4"/>
            </w:tcBorders>
            <w:shd w:fill="2E5FAC" w:val="clear"/>
            <w:tcMar>
              <w:top w:type="dxa" w:w="60"/>
              <w:left w:type="dxa" w:w="110"/>
              <w:bottom w:type="dxa" w:w="60"/>
              <w:right w:type="dxa" w:w="110"/>
            </w:tcMar>
            <w:vAlign w:val="center"/>
          </w:tcPr>
          <w:p>
            <w:pPr>
              <w:jc w:val="center"/>
            </w:pPr>
            <w:r>
              <w:rPr>
                <w:rFonts w:ascii="Arial" w:cs="Arial" w:eastAsia="Arial" w:hAnsi="Arial"/>
                <w:b/>
                <w:bCs/>
                <w:color w:val="FFFFFF"/>
                <w:sz w:val="17"/>
                <w:szCs w:val="17"/>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1F3864"/>
                <w:sz w:val="17"/>
                <w:szCs w:val="17"/>
              </w:rPr>
              <w:t xml:space="preserve">Continuo</w:t>
            </w:r>
          </w:p>
        </w:tc>
        <w:tc>
          <w:tcPr>
            <w:tcW w:type="dxa" w:w="336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333333"/>
                <w:sz w:val="17"/>
                <w:szCs w:val="17"/>
              </w:rPr>
              <w:t xml:space="preserve">Módulo de alias: cuando un campo no se reconoce, la interfaz pregunta al usuario qué es y guarda el alias en alias_map.json. OCR para PDFs escaneados con pytesseract.</w:t>
            </w:r>
          </w:p>
        </w:tc>
        <w:tc>
          <w:tcPr>
            <w:tcW w:type="dxa" w:w="2800"/>
            <w:tcBorders>
              <w:top w:val="single" w:color="CCCCCC" w:sz="4"/>
              <w:left w:val="single" w:color="CCCCCC" w:sz="4"/>
              <w:bottom w:val="single" w:color="CCCCCC" w:sz="4"/>
              <w:right w:val="single" w:color="CCCCCC" w:sz="4"/>
            </w:tcBorders>
            <w:shd w:fill="F5FFF8" w:val="clear"/>
            <w:tcMar>
              <w:top w:type="dxa" w:w="60"/>
              <w:left w:type="dxa" w:w="110"/>
              <w:bottom w:type="dxa" w:w="60"/>
              <w:right w:type="dxa" w:w="110"/>
            </w:tcMar>
            <w:vAlign w:val="center"/>
          </w:tcPr>
          <w:p>
            <w:pPr>
              <w:jc w:val="left"/>
            </w:pPr>
            <w:r>
              <w:rPr>
                <w:rFonts w:ascii="Arial" w:cs="Arial" w:eastAsia="Arial" w:hAnsi="Arial"/>
                <w:b w:val="false"/>
                <w:bCs w:val="false"/>
                <w:color w:val="1A6B2A"/>
                <w:sz w:val="17"/>
                <w:szCs w:val="17"/>
              </w:rPr>
              <w:t xml:space="preserve">Sistema aprende con cada novedad nueva. PDFs escaneados quedan cubiertos sin costo adicional.</w:t>
            </w:r>
          </w:p>
        </w:tc>
      </w:tr>
    </w:tbl>
    <w:p>
      <w:pPr>
        <w:spacing w:after="0" w:before="160"/>
      </w:pPr>
      <w:r>
        <w:t xml:space="preserve"/>
      </w:r>
    </w:p>
    <w:p>
      <w:pPr>
        <w:pStyle w:val="Heading2"/>
        <w:pBdr>
          <w:bottom w:val="single" w:color="2E5FAC" w:sz="8"/>
        </w:pBdr>
        <w:spacing w:after="120" w:before="280"/>
      </w:pPr>
      <w:r>
        <w:rPr>
          <w:rFonts w:ascii="Arial" w:cs="Arial" w:eastAsia="Arial" w:hAnsi="Arial"/>
          <w:b/>
          <w:bCs/>
          <w:color w:val="2E5FAC"/>
          <w:sz w:val="24"/>
          <w:szCs w:val="24"/>
        </w:rPr>
        <w:t xml:space="preserve">5.3 Estimado de esfuerzo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4"/>
              <w:bottom w:val="single" w:color="1A6B2A" w:sz="4"/>
              <w:right w:val="single" w:color="1A6B2A" w:sz="4"/>
            </w:tcBorders>
            <w:shd w:fill="1A6B2A" w:val="clear"/>
            <w:tcMar>
              <w:top w:type="dxa" w:w="80"/>
              <w:left w:type="dxa" w:w="160"/>
              <w:bottom w:type="dxa" w:w="80"/>
              <w:right w:type="dxa" w:w="160"/>
            </w:tcMar>
          </w:tcPr>
          <w:p>
            <w:r>
              <w:rPr>
                <w:rFonts w:ascii="Arial" w:cs="Arial" w:eastAsia="Arial" w:hAnsi="Arial"/>
                <w:b/>
                <w:bCs/>
                <w:color w:val="FFFFFF"/>
                <w:sz w:val="22"/>
                <w:szCs w:val="22"/>
              </w:rPr>
              <w:t xml:space="preserve">Recursos necesarios para implementar la Opción E</w:t>
            </w:r>
          </w:p>
        </w:tc>
      </w:tr>
      <w:tr>
        <w:tc>
          <w:tcPr>
            <w:tcW w:type="dxa" w:w="9360"/>
            <w:tcBorders>
              <w:top w:val="single" w:color="1A6B2A" w:sz="4"/>
              <w:left w:val="single" w:color="1A6B2A" w:sz="4"/>
              <w:bottom w:val="single" w:color="1A6B2A" w:sz="4"/>
              <w:right w:val="single" w:color="1A6B2A" w:sz="4"/>
            </w:tcBorders>
            <w:shd w:fill="E8F5EC" w:val="clear"/>
            <w:tcMar>
              <w:top w:type="dxa" w:w="120"/>
              <w:left w:type="dxa" w:w="200"/>
              <w:bottom w:type="dxa" w:w="120"/>
              <w:right w:type="dxa" w:w="200"/>
            </w:tcMar>
          </w:tcPr>
          <w:p>
            <w:pPr>
              <w:pStyle w:val="ListParagraph"/>
              <w:numPr>
                <w:ilvl w:val="0"/>
                <w:numId w:val="2"/>
              </w:numPr>
              <w:spacing w:after="60" w:before="60"/>
            </w:pPr>
            <w:r>
              <w:rPr>
                <w:rFonts w:ascii="Arial" w:cs="Arial" w:eastAsia="Arial" w:hAnsi="Arial"/>
                <w:b/>
                <w:bCs/>
                <w:sz w:val="20"/>
                <w:szCs w:val="20"/>
              </w:rPr>
              <w:t xml:space="preserve">Desarrollador Python</w:t>
            </w:r>
            <w:r>
              <w:rPr>
                <w:rFonts w:ascii="Arial" w:cs="Arial" w:eastAsia="Arial" w:hAnsi="Arial"/>
                <w:sz w:val="20"/>
                <w:szCs w:val="20"/>
              </w:rPr>
              <w:t xml:space="preserve">: 1 persona, dedicación parcial (~20 horas/semana).</w:t>
            </w:r>
          </w:p>
          <w:p>
            <w:pPr>
              <w:pStyle w:val="ListParagraph"/>
              <w:numPr>
                <w:ilvl w:val="0"/>
                <w:numId w:val="2"/>
              </w:numPr>
              <w:spacing w:after="60" w:before="60"/>
            </w:pPr>
            <w:r>
              <w:rPr>
                <w:rFonts w:ascii="Arial" w:cs="Arial" w:eastAsia="Arial" w:hAnsi="Arial"/>
                <w:b/>
                <w:bCs/>
                <w:sz w:val="20"/>
                <w:szCs w:val="20"/>
              </w:rPr>
              <w:t xml:space="preserve">Tiempo total estimado</w:t>
            </w:r>
            <w:r>
              <w:rPr>
                <w:rFonts w:ascii="Arial" w:cs="Arial" w:eastAsia="Arial" w:hAnsi="Arial"/>
                <w:sz w:val="20"/>
                <w:szCs w:val="20"/>
              </w:rPr>
              <w:t xml:space="preserve">: 3-4 semanas para las Fases 1-3 completamente funcionales.</w:t>
            </w:r>
          </w:p>
          <w:p>
            <w:pPr>
              <w:pStyle w:val="ListParagraph"/>
              <w:numPr>
                <w:ilvl w:val="0"/>
                <w:numId w:val="2"/>
              </w:numPr>
              <w:spacing w:after="60" w:before="60"/>
            </w:pPr>
            <w:r>
              <w:rPr>
                <w:rFonts w:ascii="Arial" w:cs="Arial" w:eastAsia="Arial" w:hAnsi="Arial"/>
                <w:b/>
                <w:bCs/>
                <w:sz w:val="20"/>
                <w:szCs w:val="20"/>
              </w:rPr>
              <w:t xml:space="preserve">Infraestructura</w:t>
            </w:r>
            <w:r>
              <w:rPr>
                <w:rFonts w:ascii="Arial" w:cs="Arial" w:eastAsia="Arial" w:hAnsi="Arial"/>
                <w:sz w:val="20"/>
                <w:szCs w:val="20"/>
              </w:rPr>
              <w:t xml:space="preserve">: Ninguna adicional — corre en el mismo servidor CM-ITD-P-05 donde está MineDax.</w:t>
            </w:r>
          </w:p>
          <w:p>
            <w:pPr>
              <w:pStyle w:val="ListParagraph"/>
              <w:numPr>
                <w:ilvl w:val="0"/>
                <w:numId w:val="2"/>
              </w:numPr>
              <w:spacing w:after="60" w:before="60"/>
            </w:pPr>
            <w:r>
              <w:rPr>
                <w:rFonts w:ascii="Arial" w:cs="Arial" w:eastAsia="Arial" w:hAnsi="Arial"/>
                <w:b/>
                <w:bCs/>
                <w:sz w:val="20"/>
                <w:szCs w:val="20"/>
              </w:rPr>
              <w:t xml:space="preserve">Librerías externas</w:t>
            </w:r>
            <w:r>
              <w:rPr>
                <w:rFonts w:ascii="Arial" w:cs="Arial" w:eastAsia="Arial" w:hAnsi="Arial"/>
                <w:sz w:val="20"/>
                <w:szCs w:val="20"/>
              </w:rPr>
              <w:t xml:space="preserve">: pandas, openpyxl, xlrd, pdfplumber, pytesseract, rapidfuzz, pyodbc, streamlit. Todas gratuitas, instalables con pip en minutos.</w:t>
            </w:r>
          </w:p>
          <w:p>
            <w:pPr>
              <w:pStyle w:val="ListParagraph"/>
              <w:numPr>
                <w:ilvl w:val="0"/>
                <w:numId w:val="2"/>
              </w:numPr>
              <w:spacing w:after="60" w:before="60"/>
            </w:pPr>
            <w:r>
              <w:rPr>
                <w:rFonts w:ascii="Arial" w:cs="Arial" w:eastAsia="Arial" w:hAnsi="Arial"/>
                <w:b/>
                <w:bCs/>
                <w:sz w:val="20"/>
                <w:szCs w:val="20"/>
              </w:rPr>
              <w:t xml:space="preserve">Tesseract OCR</w:t>
            </w:r>
            <w:r>
              <w:rPr>
                <w:rFonts w:ascii="Arial" w:cs="Arial" w:eastAsia="Arial" w:hAnsi="Arial"/>
                <w:sz w:val="20"/>
                <w:szCs w:val="20"/>
              </w:rPr>
              <w:t xml:space="preserve">: Instalación local de Tesseract (gratuito, Apache 2.0). Necesario solo para PDFs escaneados.</w:t>
            </w:r>
          </w:p>
          <w:p>
            <w:pPr>
              <w:pStyle w:val="ListParagraph"/>
              <w:numPr>
                <w:ilvl w:val="0"/>
                <w:numId w:val="2"/>
              </w:numPr>
              <w:spacing w:after="60" w:before="60"/>
            </w:pPr>
            <w:r>
              <w:rPr>
                <w:rFonts w:ascii="Arial" w:cs="Arial" w:eastAsia="Arial" w:hAnsi="Arial"/>
                <w:b/>
                <w:bCs/>
                <w:sz w:val="20"/>
                <w:szCs w:val="20"/>
              </w:rPr>
              <w:t xml:space="preserve">Costo mensual en producción</w:t>
            </w:r>
            <w:r>
              <w:rPr>
                <w:rFonts w:ascii="Arial" w:cs="Arial" w:eastAsia="Arial" w:hAnsi="Arial"/>
                <w:sz w:val="20"/>
                <w:szCs w:val="20"/>
              </w:rPr>
              <w:t xml:space="preserve">: $0 — sin APIs, sin servidores en la nube, sin suscripciones.</w:t>
            </w:r>
          </w:p>
        </w:tc>
      </w:tr>
    </w:tbl>
    <w:p>
      <w:pPr>
        <w:spacing w:after="0" w:before="200"/>
      </w:pPr>
      <w:r>
        <w:t xml:space="preserve"/>
      </w:r>
    </w:p>
    <w:p>
      <w:r>
        <w:br w:type="page"/>
      </w:r>
    </w:p>
    <w:p>
      <w:pPr>
        <w:pStyle w:val="Heading1"/>
        <w:shd w:fill="1F3864" w:val="clear"/>
        <w:spacing w:after="160" w:before="360"/>
        <w:ind w:left="160" w:right="160"/>
      </w:pPr>
      <w:r>
        <w:rPr>
          <w:rFonts w:ascii="Arial" w:cs="Arial" w:eastAsia="Arial" w:hAnsi="Arial"/>
          <w:b/>
          <w:bCs/>
          <w:color w:val="FFFFFF"/>
          <w:sz w:val="28"/>
          <w:szCs w:val="28"/>
        </w:rPr>
        <w:t xml:space="preserve">6. Limitaciones de la Opción E y Cómo Gestionarlas</w:t>
      </w:r>
    </w:p>
    <w:p>
      <w:pPr>
        <w:spacing w:after="0" w:before="80"/>
      </w:pPr>
      <w:r>
        <w:t xml:space="preserve"/>
      </w:r>
    </w:p>
    <w:p>
      <w:pPr>
        <w:spacing w:after="80" w:before="80"/>
      </w:pPr>
      <w:r>
        <w:rPr>
          <w:rFonts w:ascii="Arial" w:cs="Arial" w:eastAsia="Arial" w:hAnsi="Arial"/>
          <w:sz w:val="20"/>
          <w:szCs w:val="20"/>
        </w:rPr>
        <w:t xml:space="preserve">La honestidad técnica exige reconocer que eliminar el LLM tiene un costo en adaptabilidad. Este capítulo describe las limitaciones reales y las estrategias para mitigarlas dentro del presupuesto cero: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1F3864" w:sz="4"/>
              <w:left w:val="single" w:color="1F3864" w:sz="4"/>
              <w:bottom w:val="single" w:color="1F3864" w:sz="4"/>
              <w:right w:val="single" w:color="1F3864" w:sz="4"/>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Limitación</w:t>
            </w:r>
          </w:p>
        </w:tc>
        <w:tc>
          <w:tcPr>
            <w:tcW w:type="dxa" w:w="3080"/>
            <w:tcBorders>
              <w:top w:val="single" w:color="2E5FAC" w:sz="4"/>
              <w:left w:val="single" w:color="2E5FAC" w:sz="4"/>
              <w:bottom w:val="single" w:color="2E5FAC" w:sz="4"/>
              <w:right w:val="single" w:color="2E5FAC" w:sz="4"/>
            </w:tcBorders>
            <w:shd w:fill="2E5FA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Impacto real</w:t>
            </w:r>
          </w:p>
        </w:tc>
        <w:tc>
          <w:tcPr>
            <w:tcW w:type="dxa" w:w="3080"/>
            <w:tcBorders>
              <w:top w:val="single" w:color="0D6E6E" w:sz="4"/>
              <w:left w:val="single" w:color="0D6E6E" w:sz="4"/>
              <w:bottom w:val="single" w:color="0D6E6E" w:sz="4"/>
              <w:right w:val="single" w:color="0D6E6E" w:sz="4"/>
            </w:tcBorders>
            <w:shd w:fill="0D6E6E"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Estrategia de mitigación (costo $0)</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8B1010"/>
                <w:sz w:val="17"/>
                <w:szCs w:val="17"/>
              </w:rPr>
              <w:t xml:space="preserve">Formatos completamente desconocidos no se detectan solos</w:t>
            </w:r>
          </w:p>
        </w:tc>
        <w:tc>
          <w:tcPr>
            <w:tcW w:type="dxa" w:w="30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555555"/>
                <w:sz w:val="17"/>
                <w:szCs w:val="17"/>
              </w:rPr>
              <w:t xml:space="preserve">Primera vez que aparece un formato nuevo, ~20-40% de campos quedarán 'no reconocidos'</w:t>
            </w:r>
          </w:p>
        </w:tc>
        <w:tc>
          <w:tcPr>
            <w:tcW w:type="dxa" w:w="3080"/>
            <w:tcBorders>
              <w:top w:val="single" w:color="CCCCCC" w:sz="4"/>
              <w:left w:val="single" w:color="CCCCCC" w:sz="4"/>
              <w:bottom w:val="single" w:color="CCCCCC" w:sz="4"/>
              <w:right w:val="single" w:color="CCCCCC" w:sz="4"/>
            </w:tcBorders>
            <w:shd w:fill="E8F5EC" w:val="clear"/>
            <w:tcMar>
              <w:top w:type="dxa" w:w="60"/>
              <w:left w:type="dxa" w:w="110"/>
              <w:bottom w:type="dxa" w:w="60"/>
              <w:right w:type="dxa" w:w="110"/>
            </w:tcMar>
            <w:vAlign w:val="center"/>
          </w:tcPr>
          <w:p>
            <w:pPr>
              <w:jc w:val="left"/>
            </w:pPr>
            <w:r>
              <w:rPr>
                <w:rFonts w:ascii="Arial" w:cs="Arial" w:eastAsia="Arial" w:hAnsi="Arial"/>
                <w:b w:val="false"/>
                <w:bCs w:val="false"/>
                <w:color w:val="1A6B2A"/>
                <w:sz w:val="17"/>
                <w:szCs w:val="17"/>
              </w:rPr>
              <w:t xml:space="preserve">La interfaz guía al usuario en 2-3 minutos para registrar los alias. Luego es automático.</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8B1010"/>
                <w:sz w:val="17"/>
                <w:szCs w:val="17"/>
              </w:rPr>
              <w:t xml:space="preserve">PDFs de imagen (escaneados) requieren OCR</w:t>
            </w:r>
          </w:p>
        </w:tc>
        <w:tc>
          <w:tcPr>
            <w:tcW w:type="dxa" w:w="30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555555"/>
                <w:sz w:val="17"/>
                <w:szCs w:val="17"/>
              </w:rPr>
              <w:t xml:space="preserve">Calidad de extracción depende de la resolución del escaneo</w:t>
            </w:r>
          </w:p>
        </w:tc>
        <w:tc>
          <w:tcPr>
            <w:tcW w:type="dxa" w:w="3080"/>
            <w:tcBorders>
              <w:top w:val="single" w:color="CCCCCC" w:sz="4"/>
              <w:left w:val="single" w:color="CCCCCC" w:sz="4"/>
              <w:bottom w:val="single" w:color="CCCCCC" w:sz="4"/>
              <w:right w:val="single" w:color="CCCCCC" w:sz="4"/>
            </w:tcBorders>
            <w:shd w:fill="F5FFF8" w:val="clear"/>
            <w:tcMar>
              <w:top w:type="dxa" w:w="60"/>
              <w:left w:type="dxa" w:w="110"/>
              <w:bottom w:type="dxa" w:w="60"/>
              <w:right w:type="dxa" w:w="110"/>
            </w:tcMar>
            <w:vAlign w:val="center"/>
          </w:tcPr>
          <w:p>
            <w:pPr>
              <w:jc w:val="left"/>
            </w:pPr>
            <w:r>
              <w:rPr>
                <w:rFonts w:ascii="Arial" w:cs="Arial" w:eastAsia="Arial" w:hAnsi="Arial"/>
                <w:b w:val="false"/>
                <w:bCs w:val="false"/>
                <w:color w:val="1A6B2A"/>
                <w:sz w:val="17"/>
                <w:szCs w:val="17"/>
              </w:rPr>
              <w:t xml:space="preserve">Pytesseract + preprocesamiento OpenCV. Si el PDF es muy malo, se solicita PDF digital al solicitante.</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bCs/>
                <w:color w:val="8B1010"/>
                <w:sz w:val="17"/>
                <w:szCs w:val="17"/>
              </w:rPr>
              <w:t xml:space="preserve">Cambios drásticos de estructura (no solo nombres)</w:t>
            </w:r>
          </w:p>
        </w:tc>
        <w:tc>
          <w:tcPr>
            <w:tcW w:type="dxa" w:w="3080"/>
            <w:tcBorders>
              <w:top w:val="single" w:color="CCCCCC" w:sz="4"/>
              <w:left w:val="single" w:color="CCCCCC" w:sz="4"/>
              <w:bottom w:val="single" w:color="CCCCCC" w:sz="4"/>
              <w:right w:val="single" w:color="CCCCCC" w:sz="4"/>
            </w:tcBorders>
            <w:shd w:fill="F5F5F5" w:val="clear"/>
            <w:tcMar>
              <w:top w:type="dxa" w:w="60"/>
              <w:left w:type="dxa" w:w="110"/>
              <w:bottom w:type="dxa" w:w="60"/>
              <w:right w:type="dxa" w:w="110"/>
            </w:tcMar>
            <w:vAlign w:val="center"/>
          </w:tcPr>
          <w:p>
            <w:pPr>
              <w:jc w:val="left"/>
            </w:pPr>
            <w:r>
              <w:rPr>
                <w:rFonts w:ascii="Arial" w:cs="Arial" w:eastAsia="Arial" w:hAnsi="Arial"/>
                <w:b w:val="false"/>
                <w:bCs w:val="false"/>
                <w:color w:val="555555"/>
                <w:sz w:val="17"/>
                <w:szCs w:val="17"/>
              </w:rPr>
              <w:t xml:space="preserve">Si un archivo pasa de tabular a formulario disperso, la heurística de detección puede fallar</w:t>
            </w:r>
          </w:p>
        </w:tc>
        <w:tc>
          <w:tcPr>
            <w:tcW w:type="dxa" w:w="3080"/>
            <w:tcBorders>
              <w:top w:val="single" w:color="CCCCCC" w:sz="4"/>
              <w:left w:val="single" w:color="CCCCCC" w:sz="4"/>
              <w:bottom w:val="single" w:color="CCCCCC" w:sz="4"/>
              <w:right w:val="single" w:color="CCCCCC" w:sz="4"/>
            </w:tcBorders>
            <w:shd w:fill="E8F5EC" w:val="clear"/>
            <w:tcMar>
              <w:top w:type="dxa" w:w="60"/>
              <w:left w:type="dxa" w:w="110"/>
              <w:bottom w:type="dxa" w:w="60"/>
              <w:right w:type="dxa" w:w="110"/>
            </w:tcMar>
            <w:vAlign w:val="center"/>
          </w:tcPr>
          <w:p>
            <w:pPr>
              <w:jc w:val="left"/>
            </w:pPr>
            <w:r>
              <w:rPr>
                <w:rFonts w:ascii="Arial" w:cs="Arial" w:eastAsia="Arial" w:hAnsi="Arial"/>
                <w:b w:val="false"/>
                <w:bCs w:val="false"/>
                <w:color w:val="1A6B2A"/>
                <w:sz w:val="17"/>
                <w:szCs w:val="17"/>
              </w:rPr>
              <w:t xml:space="preserve">El sistema detecta el tipo de estructura y alerta al usuario. Se actualiza el parser con mínimo código.</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bCs/>
                <w:color w:val="8B1010"/>
                <w:sz w:val="17"/>
                <w:szCs w:val="17"/>
              </w:rPr>
              <w:t xml:space="preserve">No deduce contexto semántico complejo</w:t>
            </w:r>
          </w:p>
        </w:tc>
        <w:tc>
          <w:tcPr>
            <w:tcW w:type="dxa" w:w="308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color w:val="555555"/>
                <w:sz w:val="17"/>
                <w:szCs w:val="17"/>
              </w:rPr>
              <w:t xml:space="preserve">No puede inferir que '01-03-2026' en el contexto del archivo significa fecha de ingreso (solo fecha)</w:t>
            </w:r>
          </w:p>
        </w:tc>
        <w:tc>
          <w:tcPr>
            <w:tcW w:type="dxa" w:w="3080"/>
            <w:tcBorders>
              <w:top w:val="single" w:color="CCCCCC" w:sz="4"/>
              <w:left w:val="single" w:color="CCCCCC" w:sz="4"/>
              <w:bottom w:val="single" w:color="CCCCCC" w:sz="4"/>
              <w:right w:val="single" w:color="CCCCCC" w:sz="4"/>
            </w:tcBorders>
            <w:shd w:fill="F5FFF8" w:val="clear"/>
            <w:tcMar>
              <w:top w:type="dxa" w:w="60"/>
              <w:left w:type="dxa" w:w="110"/>
              <w:bottom w:type="dxa" w:w="60"/>
              <w:right w:type="dxa" w:w="110"/>
            </w:tcMar>
            <w:vAlign w:val="center"/>
          </w:tcPr>
          <w:p>
            <w:pPr>
              <w:jc w:val="left"/>
            </w:pPr>
            <w:r>
              <w:rPr>
                <w:rFonts w:ascii="Arial" w:cs="Arial" w:eastAsia="Arial" w:hAnsi="Arial"/>
                <w:b w:val="false"/>
                <w:bCs w:val="false"/>
                <w:color w:val="1A6B2A"/>
                <w:sz w:val="17"/>
                <w:szCs w:val="17"/>
              </w:rPr>
              <w:t xml:space="preserve">Las heurísticas de tipo de dato + posición de columna resuelven el 95% de los casos. Los restantes son marcados para revisión.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12"/>
              <w:left w:val="single" w:color="1A6B2A" w:sz="12"/>
              <w:bottom w:val="single" w:color="CCCCCC" w:sz="4"/>
              <w:right w:val="single" w:color="CCCCCC" w:sz="4"/>
            </w:tcBorders>
            <w:shd w:fill="E8F5EC" w:val="clear"/>
            <w:tcMar>
              <w:top w:type="dxa" w:w="120"/>
              <w:left w:type="dxa" w:w="160"/>
              <w:bottom w:type="dxa" w:w="120"/>
              <w:right w:type="dxa" w:w="160"/>
            </w:tcMar>
          </w:tcPr>
          <w:p>
            <w:r>
              <w:rPr>
                <w:rFonts w:ascii="Arial" w:cs="Arial" w:eastAsia="Arial" w:hAnsi="Arial"/>
                <w:b/>
                <w:bCs/>
                <w:color w:val="1A6B2A"/>
                <w:sz w:val="20"/>
                <w:szCs w:val="20"/>
              </w:rPr>
              <w:t xml:space="preserve">Conclusión sobre limitaciones:  </w:t>
            </w:r>
            <w:r>
              <w:rPr>
                <w:rFonts w:ascii="Arial" w:cs="Arial" w:eastAsia="Arial" w:hAnsi="Arial"/>
                <w:sz w:val="20"/>
                <w:szCs w:val="20"/>
              </w:rPr>
              <w:t xml:space="preserve">Las limitaciones de la Opción E son reales pero gestionables con procedimientos simples. Para el volumen y variedad de formatos actuales de Collective Mining (6 formatos identificados, ~159 empleados), la Opción E cubre el 90%+ de los casos de forma completamente automática. El 10% restante requiere una intervención de 2-3 minutos que además alimenta el aprendizaje del sistema.</w:t>
            </w:r>
          </w:p>
        </w:tc>
      </w:tr>
    </w:tbl>
    <w:p>
      <w:pPr>
        <w:spacing w:after="0" w:before="200"/>
      </w:pPr>
      <w:r>
        <w:t xml:space="preserve"/>
      </w:r>
    </w:p>
    <w:p>
      <w:r>
        <w:br w:type="page"/>
      </w:r>
    </w:p>
    <w:p>
      <w:pPr>
        <w:pStyle w:val="Heading1"/>
        <w:shd w:fill="1F3864" w:val="clear"/>
        <w:spacing w:after="160" w:before="360"/>
        <w:ind w:left="160" w:right="160"/>
      </w:pPr>
      <w:r>
        <w:rPr>
          <w:rFonts w:ascii="Arial" w:cs="Arial" w:eastAsia="Arial" w:hAnsi="Arial"/>
          <w:b/>
          <w:bCs/>
          <w:color w:val="FFFFFF"/>
          <w:sz w:val="28"/>
          <w:szCs w:val="28"/>
        </w:rPr>
        <w:t xml:space="preserve">7. Conclusión y Recomendación Final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0D6E6E" w:val="clear"/>
            <w:tcMar>
              <w:top w:type="dxa" w:w="80"/>
              <w:left w:type="dxa" w:w="160"/>
              <w:bottom w:type="dxa" w:w="80"/>
              <w:right w:type="dxa" w:w="160"/>
            </w:tcMar>
          </w:tcPr>
          <w:p>
            <w:r>
              <w:rPr>
                <w:rFonts w:ascii="Arial" w:cs="Arial" w:eastAsia="Arial" w:hAnsi="Arial"/>
                <w:b/>
                <w:bCs/>
                <w:color w:val="FFFFFF"/>
                <w:sz w:val="22"/>
                <w:szCs w:val="22"/>
              </w:rPr>
              <w:t xml:space="preserve">Recomendación</w:t>
            </w:r>
          </w:p>
        </w:tc>
      </w:tr>
      <w:tr>
        <w:tc>
          <w:tcPr>
            <w:tcW w:type="dxa" w:w="9360"/>
            <w:tcBorders>
              <w:top w:val="single" w:color="0D6E6E" w:sz="4"/>
              <w:left w:val="single" w:color="0D6E6E" w:sz="4"/>
              <w:bottom w:val="single" w:color="0D6E6E" w:sz="4"/>
              <w:right w:val="single" w:color="0D6E6E" w:sz="4"/>
            </w:tcBorders>
            <w:shd w:fill="E0F5F5" w:val="clear"/>
            <w:tcMar>
              <w:top w:type="dxa" w:w="120"/>
              <w:left w:type="dxa" w:w="200"/>
              <w:bottom w:type="dxa" w:w="120"/>
              <w:right w:type="dxa" w:w="200"/>
            </w:tcMar>
          </w:tcPr>
          <w:p>
            <w:pPr>
              <w:spacing w:after="80" w:before="80"/>
            </w:pPr>
            <w:r>
              <w:rPr>
                <w:rFonts w:ascii="Arial" w:cs="Arial" w:eastAsia="Arial" w:hAnsi="Arial"/>
                <w:sz w:val="20"/>
                <w:szCs w:val="20"/>
              </w:rPr>
              <w:t xml:space="preserve">Proceder con la Opción E — Arquitectura Local de Costo $0. Esta propuesta cumple todos los requisitos establecidos: costo de operación nulo, integración directa con MineDax (eliminando la plantilla Excel ADECCO como paso intermedio), adaptación a nuevos formatos sin reprogramación (via alias_map), y automatización del 90%+ del proceso de carga de novedades.</w:t>
            </w:r>
          </w:p>
          <w:p>
            <w:pPr>
              <w:spacing w:after="0" w:before="80"/>
            </w:pPr>
            <w:r>
              <w:t xml:space="preserve"/>
            </w:r>
          </w:p>
          <w:p>
            <w:pPr>
              <w:spacing w:after="80" w:before="80"/>
            </w:pPr>
            <w:r>
              <w:rPr>
                <w:rFonts w:ascii="Arial" w:cs="Arial" w:eastAsia="Arial" w:hAnsi="Arial"/>
                <w:sz w:val="20"/>
                <w:szCs w:val="20"/>
              </w:rPr>
              <w:t xml:space="preserve">La arquitectura es viable con los recursos tecnológicos actuales (SQL Server Express en CM-ITD-P-05) y con librerías Python de código abierto. No requiere ninguna infraestructura adicional ni conexión a servicios externos.</w:t>
            </w:r>
          </w:p>
          <w:p>
            <w:pPr>
              <w:spacing w:after="0" w:before="80"/>
            </w:pPr>
            <w:r>
              <w:t xml:space="preserve"/>
            </w:r>
          </w:p>
          <w:p>
            <w:pPr>
              <w:spacing w:after="80" w:before="80"/>
            </w:pPr>
            <w:r>
              <w:rPr>
                <w:rFonts w:ascii="Arial" w:cs="Arial" w:eastAsia="Arial" w:hAnsi="Arial"/>
                <w:sz w:val="20"/>
                <w:szCs w:val="20"/>
              </w:rPr>
              <w:t xml:space="preserve">Si en el futuro el volumen de formatos nuevos crece significativamente y el mantenimiento del alias_map se vuelve intensivo, la arquitectura permite agregar un componente LLM local y gratuito (como Ollama + Llama 3 corriendo en el servidor) como capa opcional — manteniendo el costo en $0 pero aumentando la capacidad de adaptación automática. Esta es la ruta de evolución natural del sistema.</w:t>
            </w:r>
          </w:p>
        </w:tc>
      </w:tr>
    </w:tbl>
    <w:p>
      <w:pPr>
        <w:spacing w:after="0" w:before="120"/>
      </w:pPr>
      <w:r>
        <w:t xml:space="preserve"/>
      </w:r>
    </w:p>
    <w:p>
      <w:pPr>
        <w:pStyle w:val="Heading2"/>
        <w:pBdr>
          <w:bottom w:val="single" w:color="2E5FAC" w:sz="8"/>
        </w:pBdr>
        <w:spacing w:after="120" w:before="280"/>
      </w:pPr>
      <w:r>
        <w:rPr>
          <w:rFonts w:ascii="Arial" w:cs="Arial" w:eastAsia="Arial" w:hAnsi="Arial"/>
          <w:b/>
          <w:bCs/>
          <w:color w:val="2E5FAC"/>
          <w:sz w:val="24"/>
          <w:szCs w:val="24"/>
        </w:rPr>
        <w:t xml:space="preserve">7.1 Próximos pasos inmediatos</w:t>
      </w:r>
    </w:p>
    <w:p>
      <w:pPr>
        <w:pStyle w:val="ListParagraph"/>
        <w:numPr>
          <w:ilvl w:val="0"/>
          <w:numId w:val="3"/>
        </w:numPr>
        <w:spacing w:after="60" w:before="60"/>
      </w:pPr>
      <w:r>
        <w:rPr>
          <w:rFonts w:ascii="Arial" w:cs="Arial" w:eastAsia="Arial" w:hAnsi="Arial"/>
          <w:sz w:val="20"/>
          <w:szCs w:val="20"/>
        </w:rPr>
        <w:t xml:space="preserve">Validar que pyodbc puede conectarse a MineDax desde el entorno de desarrollo (confirmar string de conexión a CM-ITD-P-05\SQLEXPRESS, base MineDax).</w:t>
      </w:r>
    </w:p>
    <w:p>
      <w:pPr>
        <w:pStyle w:val="ListParagraph"/>
        <w:numPr>
          <w:ilvl w:val="0"/>
          <w:numId w:val="3"/>
        </w:numPr>
        <w:spacing w:after="60" w:before="60"/>
      </w:pPr>
      <w:r>
        <w:rPr>
          <w:rFonts w:ascii="Arial" w:cs="Arial" w:eastAsia="Arial" w:hAnsi="Arial"/>
          <w:sz w:val="20"/>
          <w:szCs w:val="20"/>
        </w:rPr>
        <w:t xml:space="preserve">Construir el alias_map.json inicial con los 6 formatos ya analizados (los campos están documentados en el Análisis v1.0).</w:t>
      </w:r>
    </w:p>
    <w:p>
      <w:pPr>
        <w:pStyle w:val="ListParagraph"/>
        <w:numPr>
          <w:ilvl w:val="0"/>
          <w:numId w:val="3"/>
        </w:numPr>
        <w:spacing w:after="60" w:before="60"/>
      </w:pPr>
      <w:r>
        <w:rPr>
          <w:rFonts w:ascii="Arial" w:cs="Arial" w:eastAsia="Arial" w:hAnsi="Arial"/>
          <w:sz w:val="20"/>
          <w:szCs w:val="20"/>
        </w:rPr>
        <w:t xml:space="preserve">Implementar el extractor base para el formato de Horas Extras y Novedades Exploración (los más completos y tabulares) como prototipo de Fase 1.</w:t>
      </w:r>
    </w:p>
    <w:p>
      <w:pPr>
        <w:pStyle w:val="ListParagraph"/>
        <w:numPr>
          <w:ilvl w:val="0"/>
          <w:numId w:val="3"/>
        </w:numPr>
        <w:spacing w:after="60" w:before="60"/>
      </w:pPr>
      <w:r>
        <w:rPr>
          <w:rFonts w:ascii="Arial" w:cs="Arial" w:eastAsia="Arial" w:hAnsi="Arial"/>
          <w:sz w:val="20"/>
          <w:szCs w:val="20"/>
        </w:rPr>
        <w:t xml:space="preserve">Validar el INSERT en NO_NOVED + NO_OCASI con datos reales del período actual, sobre el entorno de prueba de MineDax.</w:t>
      </w:r>
    </w:p>
    <w:p>
      <w:pPr>
        <w:pStyle w:val="ListParagraph"/>
        <w:numPr>
          <w:ilvl w:val="0"/>
          <w:numId w:val="3"/>
        </w:numPr>
        <w:spacing w:after="60" w:before="60"/>
      </w:pPr>
      <w:r>
        <w:rPr>
          <w:rFonts w:ascii="Arial" w:cs="Arial" w:eastAsia="Arial" w:hAnsi="Arial"/>
          <w:sz w:val="20"/>
          <w:szCs w:val="20"/>
        </w:rPr>
        <w:t xml:space="preserve">Presentar al equipo de Talento Humano la interfaz Streamlit de revisión para obtener feedback antes de habilitar la inserción automática en producción.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2"/>
              <w:left w:val="single" w:color="0D6E6E" w:sz="12"/>
              <w:bottom w:val="single" w:color="CCCCCC" w:sz="4"/>
              <w:right w:val="single" w:color="CCCCCC" w:sz="4"/>
            </w:tcBorders>
            <w:shd w:fill="E0F5F5" w:val="clear"/>
            <w:tcMar>
              <w:top w:type="dxa" w:w="120"/>
              <w:left w:type="dxa" w:w="160"/>
              <w:bottom w:type="dxa" w:w="120"/>
              <w:right w:type="dxa" w:w="160"/>
            </w:tcMar>
          </w:tcPr>
          <w:p>
            <w:r>
              <w:rPr>
                <w:rFonts w:ascii="Arial" w:cs="Arial" w:eastAsia="Arial" w:hAnsi="Arial"/>
                <w:b/>
                <w:bCs/>
                <w:color w:val="0D6E6E"/>
                <w:sz w:val="20"/>
                <w:szCs w:val="20"/>
              </w:rPr>
              <w:t xml:space="preserve">Integración técnica confirmada:  </w:t>
            </w:r>
            <w:r>
              <w:rPr>
                <w:rFonts w:ascii="Arial" w:cs="Arial" w:eastAsia="Arial" w:hAnsi="Arial"/>
                <w:sz w:val="20"/>
                <w:szCs w:val="20"/>
              </w:rPr>
              <w:t xml:space="preserve">La conexión a MineDax está activa y verificada: MineDax en CM-ITD-P-05\SQLEXPRESS (SQL Server 2025 Express), 159 empleados en MAE_TERC, 91 conceptos en NO_CONCE completamente alineados con los tipos de novedad de los formatos fuente. La base de datos ya tiene la estructura exacta para recibir los datos de todos los formatos analizados.</w:t>
            </w:r>
          </w:p>
        </w:tc>
      </w:tr>
    </w:tbl>
    <w:p>
      <w:pPr>
        <w:spacing w:after="0" w:before="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6E" w:sz="6"/>
      </w:pBdr>
      <w:spacing w:before="80"/>
      <w:jc w:val="center"/>
    </w:pPr>
    <w:r>
      <w:rPr>
        <w:rFonts w:ascii="Arial" w:cs="Arial" w:eastAsia="Arial" w:hAnsi="Arial"/>
        <w:color w:val="888888"/>
        <w:sz w:val="16"/>
        <w:szCs w:val="16"/>
      </w:rPr>
      <w:t xml:space="preserve">Documento Confidencial — Collective Mining | MineDax | Arquitectura IT-Nómina — Opción E: Costo $0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left w:val="none"/>
            <w:bottom w:val="single" w:color="0D6E6E" w:sz="8"/>
            <w:right w:val="none"/>
          </w:tcBorders>
          <w:tcMar>
            <w:top w:type="dxa" w:w="60"/>
            <w:left w:type="dxa" w:w="0"/>
            <w:bottom w:type="dxa" w:w="60"/>
            <w:right w:type="dxa" w:w="0"/>
          </w:tcMar>
        </w:tcPr>
        <w:p>
          <w:r>
            <w:rPr>
              <w:rFonts w:ascii="Arial" w:cs="Arial" w:eastAsia="Arial" w:hAnsi="Arial"/>
              <w:b/>
              <w:bCs/>
              <w:color w:val="0D6E6E"/>
              <w:sz w:val="16"/>
              <w:szCs w:val="16"/>
            </w:rPr>
            <w:t xml:space="preserve">COLLECTIVE MINING  |  Sistema de Migración — Evaluación Alternativa Sin Costo</w:t>
          </w:r>
        </w:p>
      </w:tc>
      <w:tc>
        <w:tcPr>
          <w:tcW w:type="dxa" w:w="2880"/>
          <w:tcBorders>
            <w:top w:val="none"/>
            <w:left w:val="none"/>
            <w:bottom w:val="single" w:color="0D6E6E" w:sz="8"/>
            <w:right w:val="none"/>
          </w:tcBorders>
          <w:tcMar>
            <w:top w:type="dxa" w:w="60"/>
            <w:left w:type="dxa" w:w="0"/>
            <w:bottom w:type="dxa" w:w="60"/>
            <w:right w:type="dxa" w:w="0"/>
          </w:tcMar>
        </w:tcPr>
        <w:p>
          <w:pPr>
            <w:jc w:val="right"/>
          </w:pPr>
          <w:r>
            <w:rPr>
              <w:rFonts w:ascii="Arial" w:cs="Arial" w:eastAsia="Arial" w:hAnsi="Arial"/>
              <w:color w:val="888888"/>
              <w:sz w:val="16"/>
              <w:szCs w:val="16"/>
            </w:rPr>
            <w:t xml:space="preserve">Abril 2026  |  Pág. </w:t>
          </w:r>
          <w:r>
            <w:rPr>
              <w:rFonts w:ascii="Arial" w:cs="Arial" w:eastAsia="Arial" w:hAnsi="Arial"/>
              <w:color w:val="888888"/>
              <w:sz w:val="16"/>
              <w:szCs w:val="16"/>
            </w:rPr>
            <w:fldChar w:fldCharType="begin"/>
            <w:instrText xml:space="preserve">PAGE</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FAC"/>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2026-04-20T14:29:04.860Z</dcterms:created>
  <dcterms:modified xsi:type="dcterms:W3CDTF">2026-04-20T14:29:04.860Z</dcterms:modified>
</cp:coreProperties>
</file>

<file path=docProps/custom.xml><?xml version="1.0" encoding="utf-8"?>
<Properties xmlns="http://schemas.openxmlformats.org/officeDocument/2006/custom-properties" xmlns:vt="http://schemas.openxmlformats.org/officeDocument/2006/docPropsVTypes"/>
</file>