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rPr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MINEDAX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Guía de Migración a Producción Online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SQL Server Express + VPS Windows + Interfaz Web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Servidor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CM-ITD-P-05\SQLEXPRESS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Server 2025 Express (64-bit)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MineDax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OS del VPS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10 Pro (Hypervisor)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Mayo 2026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0. Diagnóstico del Estado Actual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Antes de iniciar cualquier acción, aquí está el estado real de MineDax según la inspección directa de la base de datos: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0.1 Lo que ya tienes listo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rPr>
          <w:tblHeader/>
        </w:trPr>
        <w:tc>
          <w:tcPr>
            <w:tcW w:type="dxa" w:w="4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Server 2025 Express instalado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Listo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Versión RTM, 64-bit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 MineDax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Listo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Conectiva y operativa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Esquemas dbo / SEC / NOMINA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Listo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49 tablas + 20 vistas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Tablas de auditoría (SEC.AUDIT_LOG)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Listo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Trazabilidad completa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Historial de nómina (SEC.HIST_NOMINA)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Listo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Inmutabilidad asegurada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de roles (SEC.MAE_ROL)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Listo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Roles de acceso definidos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Bloqueo de cuentas (SEC.BLOQUEO)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Listo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Seguridad de login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VPS con Windows 10 Pro (Hypervisor)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Listo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Entorno virtualizado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Cifrado de conexiones (TLS)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C2C"/>
                <w:sz w:val="18"/>
                <w:szCs w:val="18"/>
              </w:rPr>
              <w:t xml:space="preserve">✗ Falta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encryptionEnabled = false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Server Browser habilitado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⚠ Configurar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Necesario para instancia nombrada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Puerto TCP 1433 abierto externamente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⚠ Configurar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Firewall del VPS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SQL dedicado para la app web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⚠ Configurar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 exponer sa ni admin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 API (backend web)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⚠ Configurar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Node.js / ASP.NET Core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Dominio o IP pública fija del VPS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⚠ Configurar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Necesario para acceso externo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Certificado SSL para el sitio web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⚠ Configurar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HTTPS obligatorio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55A11" w:sz="8"/>
        </w:pBdr>
        <w:shd w:fill="FFF2CC" w:val="clear"/>
        <w:spacing w:after="80" w:before="80"/>
        <w:ind w:left="180" w:right="18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IMPORTANTE: </w:t>
      </w:r>
      <w:r>
        <w:rPr>
          <w:rFonts w:ascii="Arial" w:cs="Arial" w:eastAsia="Arial" w:hAnsi="Arial"/>
          <w:color w:val="C55A11"/>
          <w:sz w:val="20"/>
          <w:szCs w:val="20"/>
        </w:rPr>
        <w:t xml:space="preserve">SQL Server Express tiene un límite de 10 GB por base de datos y 1.4 GB de RAM utilizable. Para una nómina de escala pequeña esto es suficiente, pero debe monitorearse conforme crezcan los datos históricos.</w:t>
      </w:r>
    </w:p>
    <w:p>
      <w:pPr>
        <w:spacing w:after="60" w:before="60"/>
      </w:pPr>
      <w:r>
        <w:t xml:space="preserve"/>
      </w:r>
    </w:p>
    <w:p>
      <w:pPr>
        <w:pBdr>
          <w:left w:val="single" w:color="C55A11" w:sz="8"/>
        </w:pBdr>
        <w:shd w:fill="FFF2CC" w:val="clear"/>
        <w:spacing w:after="80" w:before="80"/>
        <w:ind w:left="180" w:right="18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IMPORTANTE: </w:t>
      </w:r>
      <w:r>
        <w:rPr>
          <w:rFonts w:ascii="Arial" w:cs="Arial" w:eastAsia="Arial" w:hAnsi="Arial"/>
          <w:color w:val="C55A11"/>
          <w:sz w:val="20"/>
          <w:szCs w:val="20"/>
        </w:rPr>
        <w:t xml:space="preserve">La conexión actual NO tiene cifrado TLS habilitado (encryptionEnabled: false). Este es el primer elemento que debe corregirse antes de exponer cualquier endpoint al exterior.</w:t>
      </w:r>
    </w:p>
    <w:p>
      <w:r>
        <w:br w:type="page"/>
      </w:r>
    </w:p>
    <w:p>
      <w:pPr>
        <w:pStyle w:val="Heading1"/>
        <w:shd w:fill="1F3864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Arquitectura Recomendada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principio más importante: NUNCA se debe exponer SQL Server directamente a internet. La arquitectura correcta tiene tres capas: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tblHeader/>
        </w:trPr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8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46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Frontend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/ HTML+JS (IIS o Nginx)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Interfaz que ven los usuarios. Se comunica SOLO con la API, nunca con la BD.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API Backend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+ Express (recomendado)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Servidor que recibe peticiones del frontend y las traduce a consultas SQL seguras. Corre en el VPS.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Base de datos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Server 2025 Express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CM-ITD-P-05\SQLEXPRESS. Solo accesible desde la API (localhost o red interna). NUNCA desde internet.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Flujo de datos: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Usuario (navegador)  →  HTTPS  →  API Backend (VPS, puerto 443/3000)  →  SQL Server (localhost:1433)</w:t>
      </w:r>
    </w:p>
    <w:p>
      <w:pPr>
        <w:spacing w:after="60" w:before="60"/>
      </w:pPr>
      <w:r>
        <w:t xml:space="preserve"/>
      </w:r>
    </w:p>
    <w:p>
      <w:pPr>
        <w:pBdr>
          <w:left w:val="single" w:color="375623" w:sz="8"/>
        </w:pBdr>
        <w:shd w:fill="EBF3E8" w:val="clear"/>
        <w:spacing w:after="80" w:before="80"/>
        <w:ind w:left="180" w:right="18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</w:t>
      </w:r>
      <w:r>
        <w:rPr>
          <w:rFonts w:ascii="Arial" w:cs="Arial" w:eastAsia="Arial" w:hAnsi="Arial"/>
          <w:color w:val="1A3A1A"/>
          <w:sz w:val="20"/>
          <w:szCs w:val="20"/>
        </w:rPr>
        <w:t xml:space="preserve">Como la API corre en el mismo VPS que SQL Server, la conexión entre ambos es localhost — sin necesidad de abrir el puerto 1433 al exterior. Esto es lo más seguro posible.</w:t>
      </w:r>
    </w:p>
    <w:p>
      <w:r>
        <w:br w:type="page"/>
      </w:r>
    </w:p>
    <w:p>
      <w:pPr>
        <w:pStyle w:val="Heading1"/>
        <w:shd w:fill="1F3864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Paso a Paso — Empezar Hoy</w:t>
      </w:r>
    </w:p>
    <w:p>
      <w:pPr>
        <w:pStyle w:val="Heading2"/>
        <w:pBdr>
          <w:bottom w:val="single" w:color="2E5FA3" w:sz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1: Configurar SQL Server para conexiones de la API (30 min)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1.1 — Habilitar TCP/IP en SQL Server Configuration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Abrir: Inicio → SQL Server 2025 Configuration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Navegar a: SQL Server Network Configuration → Protocols for SQLEXPRESS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Doble-clic en TCP/IP → Enabled: Yes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 la pestaña IP Addresses → scroll hasta IPAll → TCP Port: 1433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Aceptar y reiniciar el servicio SQL Server desde 'SQL Server Services'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1.2 — Habilitar SQL Server Browser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Browser es necesario porque la instancia se llama SQLEXPRESS (instancia nombrada) y no la instancia por defecto.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 SQL Server Configuration Manager → SQL Server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SQL Server Browser → clic derecho → Properties → Start Mode: Automatic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 derecho → Start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1.3 — Crear usuario SQL dedicado para la API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uses sa ni el usuario administrador para la conexión de la aplicación web. Crea uno con permisos mínimos:</w:t>
      </w:r>
    </w:p>
    <w:p>
      <w:pPr>
        <w:spacing w:after="60" w:before="60"/>
      </w:pPr>
      <w:r>
        <w:t xml:space="preserve"/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Ejecutar en SSMS conectado a MineDax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 master;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LOGIN minedax_api_user WITH PASSWORD = 'TuContraseñaSegura2026!';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 MineDax;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USER minedax_api_user FOR LOGIN minedax_api_user;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Permisos de lectura y escritura en esquemas de negocio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GRANT SELECT, INSERT, UPDATE ON SCHEMA::dbo TO minedax_api_user;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GRANT SELECT ON SCHEMA::NOMINA TO minedax_api_user;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GRANT SELECT ON SCHEMA::SEC TO minedax_api_user;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Escritura en auditoría (la app registra eventos)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GRANT INSERT ON SCHEMA::SEC TO minedax_api_user;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</w:t>
      </w:r>
    </w:p>
    <w:p>
      <w:pPr>
        <w:spacing w:after="60" w:before="60"/>
      </w:pPr>
      <w:r>
        <w:t xml:space="preserve"/>
      </w:r>
    </w:p>
    <w:p>
      <w:pPr>
        <w:pBdr>
          <w:left w:val="single" w:color="C55A11" w:sz="8"/>
        </w:pBdr>
        <w:shd w:fill="FFF2CC" w:val="clear"/>
        <w:spacing w:after="80" w:before="80"/>
        <w:ind w:left="180" w:right="18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IMPORTANTE: </w:t>
      </w:r>
      <w:r>
        <w:rPr>
          <w:rFonts w:ascii="Arial" w:cs="Arial" w:eastAsia="Arial" w:hAnsi="Arial"/>
          <w:color w:val="C55A11"/>
          <w:sz w:val="20"/>
          <w:szCs w:val="20"/>
        </w:rPr>
        <w:t xml:space="preserve">Guarda la contraseña de minedax_api_user en un gestor de contraseñas (Bitwarden, 1Password). Se usará en el archivo .env del servidor y no debe quedar en el código fuente ni en Git.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1.4 — Habilitar autenticación mixta en SQL Server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Por defecto SQL Server Express puede estar en modo 'solo Windows'. El usuario SQL recién creado requiere modo mixto: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 SSMS → clic derecho en el servidor → Properties →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Seleccionar: SQL Server and Windows Authentication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Reiniciar el servicio SQL Server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1.5 — Habilitar cifrado TLS (CRÍTICO)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conexión actual tiene encryptionEnabled: false. Antes de conectar la API al exterior: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Obtener o generar un certificado SSL (puede ser el mismo del dominio web, o un certificado interno)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 SQL Server Configuration Manager → SQL Server Network Configuration → Properties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Pestaña Certificate → seleccionar el certificado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Pestaña Flags → Force Encryption: Yes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Reiniciar SQL Server</w:t>
      </w:r>
    </w:p>
    <w:p>
      <w:pPr>
        <w:spacing w:after="60" w:before="60"/>
      </w:pPr>
      <w:r>
        <w:t xml:space="preserve"/>
      </w:r>
    </w:p>
    <w:p>
      <w:pPr>
        <w:pBdr>
          <w:left w:val="single" w:color="375623" w:sz="8"/>
        </w:pBdr>
        <w:shd w:fill="EBF3E8" w:val="clear"/>
        <w:spacing w:after="80" w:before="80"/>
        <w:ind w:left="180" w:right="18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</w:t>
      </w:r>
      <w:r>
        <w:rPr>
          <w:rFonts w:ascii="Arial" w:cs="Arial" w:eastAsia="Arial" w:hAnsi="Arial"/>
          <w:color w:val="1A3A1A"/>
          <w:sz w:val="20"/>
          <w:szCs w:val="20"/>
        </w:rPr>
        <w:t xml:space="preserve">Para desarrollo inicial en red interna puedes usar Force Encryption: No y luego activarlo antes de salir a producción pública. Lo importante es que el tráfico Frontend → API sea HTTPS.</w:t>
      </w:r>
    </w:p>
    <w:p>
      <w:r>
        <w:br w:type="page"/>
      </w:r>
    </w:p>
    <w:p>
      <w:pPr>
        <w:pStyle w:val="Heading2"/>
        <w:pBdr>
          <w:bottom w:val="single" w:color="2E5FA3" w:sz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2: Configurar el VPS y la Red (45 min)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2.1 — Obtener IP pública fija o DNS dinámico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Pedir al área de IT de Collective Mining la IP pública fija del VPS, 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la IP es dinámica: instalar un cliente de DNS dinámico (DuckDNS, No-IP) y asignar un subdominio como minedax.collectivemining.com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2.2 — Configurar Windows Firewall en el VPS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Solo abrir los puertos estrictamente necesarios: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880"/>
        <w:gridCol w:w="3600"/>
      </w:tblGrid>
      <w:tr>
        <w:trPr>
          <w:tblHeader/>
        </w:trPr>
        <w:tc>
          <w:tcPr>
            <w:tcW w:type="dxa" w:w="14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Puerto</w:t>
            </w:r>
          </w:p>
        </w:tc>
        <w:tc>
          <w:tcPr>
            <w:tcW w:type="dxa" w:w="14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Protocolo</w:t>
            </w:r>
          </w:p>
        </w:tc>
        <w:tc>
          <w:tcPr>
            <w:tcW w:type="dxa" w:w="28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Destino</w:t>
            </w:r>
          </w:p>
        </w:tc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443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TCP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(0.0.0.0/0)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para la API y el sitio web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TCP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(0.0.0.0/0)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(solo para redirigir a HTTPS)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C2C"/>
                <w:sz w:val="18"/>
                <w:szCs w:val="18"/>
              </w:rPr>
              <w:t xml:space="preserve">1433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2C2C"/>
                <w:sz w:val="18"/>
                <w:szCs w:val="18"/>
              </w:rPr>
              <w:t xml:space="preserve">TCP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C2C"/>
                <w:sz w:val="18"/>
                <w:szCs w:val="18"/>
              </w:rPr>
              <w:t xml:space="preserve">BLOQUEADO externamente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2C2C"/>
                <w:sz w:val="18"/>
                <w:szCs w:val="18"/>
              </w:rPr>
              <w:t xml:space="preserve">SQL Server — solo acceso desde localhost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3389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TCP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IPs de IT autorizadas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RDP para administración remota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2.3 — Instalar Node.js en el VPS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Descargar Node.js LTS desde nodejs.org (versión 20 LTS o superior)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Instalar en el VPS Windows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Verificar desde PowerShell: node --version y npm --version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2.4 — Instalar IIS como reverse proxy (opcional pero recomendado)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IIS ya viene en Windows 10 Pro y puede servir el frontend estático y redirigir las llamadas /api/* hacia Node.js: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Panel de Control → Programas → Activar o desactivar características de Windows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Activar: Internet Information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Instalar el módulo URL Rewrite para IIS: iis.net/downloads/microsoft/url-rewrite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Instalar Application Request Routing (ARR) para proxy inverso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5FA3" w:sz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3: Crear la API Backend (2-4 horas de desarrollo)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3.1 — Estructura del proyecto Node.js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Crear esta estructura de carpetas en el VPS (o desarrollar localmente y luego copiar/subir con Git):</w:t>
      </w:r>
    </w:p>
    <w:p>
      <w:pPr>
        <w:spacing w:after="60" w:before="60"/>
      </w:pPr>
      <w:r>
        <w:t xml:space="preserve"/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minedax-api/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src/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config/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│   └── database.js      ← cadena de conexión a SQL Server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routes/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│   ├── auth.js          ← login / logout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│   ├── empleados.js     ← MAE_TERC / GN_FUNCI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│   ├── novedades.js     ← NO_NOVED y subtipos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│   ├── periodos.js      ← NO_PERIOD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│   └── reportes.js      ← vistas VW_*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└── app.js               ← servidor Express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.env                     ← variables de entorno (NO subir a Git)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.env.example             ← plantilla sin valores reales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.gitignore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package.json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3.2 — Instalar dependencias base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init -y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express mssql dotenv cors helmet express-rate-limit jsonwebtoken bcryptjs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3.3 — Archivo .env (NUNCA subir a Git)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.env — solo existe en el servidor, jamás en el repositorio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DB_SERVER=localhost\SQLEXPRESS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DB_PORT=1433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DB_DATABASE=MineDax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DB_USER=minedax_api_user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DB_PASSWORD=TuContraseñaSegura2026!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DB_ENCRYPT=true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JWT_SECRET=unaClaveSecretaMuyLargaYAleatoria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PORT=3000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NODE_ENV=production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3.4 — Conexión a SQL Server (src/config/database.js)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sql = require('mssql');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require('dotenv').config();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config = {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server:   process.env.DB_SERVER,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port:     parseInt(process.env.DB_PORT),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database: process.env.DB_DATABASE,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user:     process.env.DB_USER,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password: process.env.DB_PASSWORD,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options: {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encrypt:              process.env.DB_ENCRYPT === 'true',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trustServerCertificate: process.env.NODE_ENV !== 'production',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enableArithAbort:     true,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pool: { max: 10, min: 0, idleTimeoutMillis: 30000 },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poolPromise = new sql.ConnectionPool(config)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.connect()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.then(pool =&gt; { console.log('Conectado a MineDax'); return pool; })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.catch(err =&gt; console.error('Error BD:', err));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module.exports = { sql, poolPromise };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3.5 — Servidor principal (src/app.js)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express = require('express');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helmet  = require('helmet');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cors    = require('cors');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rateLimit = require('express-rate-limit');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require('dotenv').config();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app = express();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app.use(helmet());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app.use(cors({ origin: process.env.FRONTEND_URL || '*' }));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app.use(express.json());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app.use(rateLimit({ windowMs: 15*60*1000, max: 100 }));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app.use('/api/auth',       require('./routes/auth'));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app.use('/api/empleados',  require('./routes/empleados'));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app.use('/api/novedades',  require('./routes/novedades'));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app.use('/api/periodos',   require('./routes/periodos'));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app.use('/api/reportes',   require('./routes/reportes'));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app.listen(process.env.PORT || 3000,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() =&gt; console.log(`MineDax API corriendo en puerto ${process.env.PORT}`));</w:t>
      </w:r>
    </w:p>
    <w:p>
      <w:pPr>
        <w:spacing w:after="60" w:before="60"/>
      </w:pPr>
      <w:r>
        <w:t xml:space="preserve"/>
      </w:r>
    </w:p>
    <w:p>
      <w:pPr>
        <w:pBdr>
          <w:left w:val="single" w:color="375623" w:sz="8"/>
        </w:pBdr>
        <w:shd w:fill="EBF3E8" w:val="clear"/>
        <w:spacing w:after="80" w:before="80"/>
        <w:ind w:left="180" w:right="18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</w:t>
      </w:r>
      <w:r>
        <w:rPr>
          <w:rFonts w:ascii="Arial" w:cs="Arial" w:eastAsia="Arial" w:hAnsi="Arial"/>
          <w:color w:val="1A3A1A"/>
          <w:sz w:val="20"/>
          <w:szCs w:val="20"/>
        </w:rPr>
        <w:t xml:space="preserve">Para que la API se mantenga corriendo en el VPS Windows aunque cierres la sesión, instala PM2: npm install -g pm2 y luego pm2 start src/app.js --name minedax-api &amp;&amp; pm2 startup &amp;&amp; pm2 save</w:t>
      </w:r>
    </w:p>
    <w:p>
      <w:r>
        <w:br w:type="page"/>
      </w:r>
    </w:p>
    <w:p>
      <w:pPr>
        <w:pStyle w:val="Heading2"/>
        <w:pBdr>
          <w:bottom w:val="single" w:color="2E5FA3" w:sz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4: Conectar el Frontend a la API (1-2 horas)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4.1 — Cambiar las llamadas directas a BD por llamadas HTTP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 el frontend (HTML/JS/React), todas las peticiones de datos deben apuntar a la API:</w:t>
      </w:r>
    </w:p>
    <w:p>
      <w:pPr>
        <w:spacing w:after="60" w:before="60"/>
      </w:pPr>
      <w:r>
        <w:t xml:space="preserve"/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Antes (INCORRECTO para producción online):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Conexión directa a SQL Server desde el navegador — NO ES POSIBLE ni seguro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Correcto: llamar a la API REST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API_BASE = 'https://tu-dominio.com/api';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Obtener empleados activos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res = await fetch(`${API_BASE}/empleados?estado=A`, {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headers: { 'Authorization': `Bearer ${token}` }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empleados = await res.json();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4.2 — Servir el frontend desde IIS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Copiar los archivos del frontend (HTML, CSS, JS compilado) a C:\inetpub\wwwroot\minedax\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 IIS Manager → Sites → Default Web Site → agregar una aplicación virtual 'minedax'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Configurar URL Rewrite para que /api/* se redirija a http://localhost:3000/api/*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Configurar el certificado SSL en el sitio de IIS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4.3 — Configurar HTTPS con Let's Encrypt (si el VPS es accesible públicamente)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Descargar win-acme desde win-acme.eu — cliente de Let's Encrypt para Windows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Ejecutar wacs.exe → seleccionar el sitio de IIS → emitir certificado automáticamente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Let's Encrypt renovará el certificado cada 90 días de forma automática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 el VPS es solo interno (red corporativa sin dominio público):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Usar un certificado interno de la CA de Collective Mining, 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Usar un certificado autofirmado (solo para desarrollo/pruebas)</w:t>
      </w:r>
    </w:p>
    <w:p>
      <w:r>
        <w:br w:type="page"/>
      </w:r>
    </w:p>
    <w:p>
      <w:pPr>
        <w:pStyle w:val="Heading2"/>
        <w:pBdr>
          <w:bottom w:val="single" w:color="2E5FA3" w:sz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5: Git y Flujo de Trabajo para Desarrollo Continuo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5.1 — Inicializar repositorio Git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En la carpeta del proyecto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init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.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commit -m 'feat: estructura inicial MineDax API'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archivo .gitignore debe incluir obligatoriamente: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.gitignore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node_modules/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.env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*.log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dist/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.DS_Store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5.2 — Estrategia de ramas (branches)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Rama</w:t>
            </w:r>
          </w:p>
        </w:tc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que corre en producción (VPS)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merge desde develop cuando está probado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develop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 de nuevas funcionalidades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Trabaja aquí diariamente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feature/xxx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Funcionalidad específica nueva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a develop cuando termina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5.3 — Flujo de deploy al VPS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Proceso para subir cambios al servidor: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Desarrollar y probar localmente en develop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git push origin develop (a GitHub / Azure DevOps / Bitbucket)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Conectarse al VPS por RDP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 el VPS: git pull origin main (o develop según la rama de producción)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pm2 restart minedax-api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Verificar en el navegador que la versión nueva funciona</w:t>
      </w:r>
    </w:p>
    <w:p>
      <w:pPr>
        <w:spacing w:after="60" w:before="60"/>
      </w:pPr>
      <w:r>
        <w:t xml:space="preserve"/>
      </w:r>
    </w:p>
    <w:p>
      <w:pPr>
        <w:pBdr>
          <w:left w:val="single" w:color="375623" w:sz="8"/>
        </w:pBdr>
        <w:shd w:fill="EBF3E8" w:val="clear"/>
        <w:spacing w:after="80" w:before="80"/>
        <w:ind w:left="180" w:right="18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</w:t>
      </w:r>
      <w:r>
        <w:rPr>
          <w:rFonts w:ascii="Arial" w:cs="Arial" w:eastAsia="Arial" w:hAnsi="Arial"/>
          <w:color w:val="1A3A1A"/>
          <w:sz w:val="20"/>
          <w:szCs w:val="20"/>
        </w:rPr>
        <w:t xml:space="preserve">Para un flujo más automatizado, se puede configurar un webhook de GitHub que ejecute el pull automáticamente cuando hay un push a main. Herramientas como GitHub Actions o un simple script PowerShell en el servidor pueden hacerlo.</w:t>
      </w:r>
    </w:p>
    <w:p>
      <w:r>
        <w:br w:type="page"/>
      </w:r>
    </w:p>
    <w:p>
      <w:pPr>
        <w:pStyle w:val="Heading2"/>
        <w:pBdr>
          <w:bottom w:val="single" w:color="2E5FA3" w:sz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6: Migración de Datos y Scripts SQL Pendientes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6.1 — Exportar la base de datos actual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Antes de cualquier cambio en el VPS, hacer un backup completo: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En SSMS → clic derecho en MineDax → Tasks → Back Up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O por T-SQL: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BACKUP DATABASE MineDax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 DISK = 'C:\Backups\MineDax_before_migration_2026.bak'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FORMAT, COMPRESSION, STATS = 10;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6.2 — Correcciones pendientes identificadas en la BD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Durante la inspección se identificaron estas inconsistencias que deben corregirse en una ventana de mantenimiento: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Alineación de tipos en ACT_USUA: NO_OCASI ya fue corregido a nvarchar(100), pero NO_FIJAS, NO_AUSEN y NO_CAMBI aún tienen char(8). Ejecutar: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dbo.NO_FIJAS ALTER COLUMN ACT_USUA nvarchar(100);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dbo.NO_AUSEN ALTER COLUMN ACT_USUA nvarchar(100);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dbo.NO_CAMBI ALTER COLUMN ACT_USUA nvarchar(100);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Tabla MAE_TERC_BACKUP: verificar si es temporal y puede eliminarse en producción para ahorrar espacio.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Tabla NO_NOVED_BACKUP_20260416: eliminar después de confirmar que los datos están correctos.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Paso 6.3 — Verificar límites de Express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SQL Server Express tiene un tope de 10 GB por base de datos. Revisar el tamaño actual: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DB_NAME() AS BaseDatos,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SUM(size * 8.0 / 1024) AS TamanioMB,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SUM(size * 8.0 / 1024 / 1024) AS TamanioGB</w:t>
      </w:r>
    </w:p>
    <w:p>
      <w:pPr>
        <w:pBdr>
          <w:left w:val="single" w:color="2E5FA3" w:sz="8"/>
        </w:pBd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sys.database_files;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5FA3" w:sz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7: Seguridad Final antes de Abrir al Exterior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Checklist de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600"/>
      </w:tblGrid>
      <w:tr>
        <w:trPr>
          <w:tblHeader/>
        </w:trPr>
        <w:tc>
          <w:tcPr>
            <w:tcW w:type="dxa" w:w="7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de Seguridad</w:t>
            </w:r>
          </w:p>
        </w:tc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verificarlo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Puerto 1433 NO accesible desde internet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nmap -p 1433 [IP-publica-VPS] → closed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Puerto 3389 (RDP) restringido a IPs corporativas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Windows Firewall → Inbound Rules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Contraseña de minedax_api_user solo en .env del servidor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grep -r 'DB_PASSWORD' → solo en .env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habilitado (certificado válido)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Abrir https://tu-dominio.com → sin advertencia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con expiración corta (≤8 horas)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Revisar configuración en auth.js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 activo en la API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100 req/15 min configurado en app.js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Helmet.js activo (cabeceras HTTP seguras)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npm show helmet version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credenciales en el repositorio Git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git log --all --full-history -- .env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 automático de MineDax configurado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SQL Server Agent o tarea programada Windows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 de auditoría SEC.AUDIT_LOG activos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TOP 10 * FROM SEC.AUDIT_LOG ORDER BY FECHA_HORA DESC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Límites de SQL Server Express y Cuándo Escalar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Límite</w:t>
            </w:r>
          </w:p>
        </w:tc>
        <w:tc>
          <w:tcPr>
            <w:tcW w:type="dxa" w:w="2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 2025</w:t>
            </w:r>
          </w:p>
        </w:tc>
        <w:tc>
          <w:tcPr>
            <w:tcW w:type="dxa" w:w="4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en MineDax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Tamaño máximo de BD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10 GB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Suficiente para años de nómina de empresa pequeña/mediana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 utilizable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1.4 GB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Monitorear si hay concurrencia alta (&gt;20 usuarios simultáneos)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Server Agent (jobs)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C2C"/>
                <w:sz w:val="18"/>
                <w:szCs w:val="18"/>
              </w:rPr>
              <w:t xml:space="preserve">No incluido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Tarea Programada de Windows para backups automáticos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Replicación / Always 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C2C"/>
                <w:sz w:val="18"/>
                <w:szCs w:val="18"/>
              </w:rPr>
              <w:t xml:space="preserve">No incluido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alta disponibilidad, migrar a Standard Edition en el futuro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Núcleos de CPU usables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4 núcleos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Adecuado para el uso previsto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375623" w:sz="8"/>
        </w:pBdr>
        <w:shd w:fill="EBF3E8" w:val="clear"/>
        <w:spacing w:after="80" w:before="80"/>
        <w:ind w:left="180" w:right="18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</w:t>
      </w:r>
      <w:r>
        <w:rPr>
          <w:rFonts w:ascii="Arial" w:cs="Arial" w:eastAsia="Arial" w:hAnsi="Arial"/>
          <w:color w:val="1A3A1A"/>
          <w:sz w:val="20"/>
          <w:szCs w:val="20"/>
        </w:rPr>
        <w:t xml:space="preserve">Si en el futuro el proyecto crece significativamente, SQL Server Standard Edition (o Developer Edition para pruebas) elimina estos límites. La migración es transparente — misma sintaxis SQL, mismas conexiones.</w:t>
      </w:r>
    </w:p>
    <w:p>
      <w:r>
        <w:br w:type="page"/>
      </w:r>
    </w:p>
    <w:p>
      <w:pPr>
        <w:pStyle w:val="Heading1"/>
        <w:shd w:fill="1F3864" w:val="clear"/>
        <w:spacing w:after="160" w:before="32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Resumen Ejecutivo — Qué Hacer Hoy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Siguiendo el orden de esta guía, el tiempo estimado para tener MineDax corriendo en línea 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1440"/>
        <w:gridCol w:w="2880"/>
      </w:tblGrid>
      <w:tr>
        <w:trPr>
          <w:tblHeader/>
        </w:trPr>
        <w:tc>
          <w:tcPr>
            <w:tcW w:type="dxa" w:w="7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4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Est.</w:t>
            </w:r>
          </w:p>
        </w:tc>
        <w:tc>
          <w:tcPr>
            <w:tcW w:type="dxa" w:w="28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SQL Server (TCP/IP, usuario API, cifrado)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DBA / IT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VPS: firewall, Node.js, IIS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 min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proyecto Node.js + conexión BD + rutas base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2-4 h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Desarrollador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Actualizar frontend para usar la API REST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1-2 h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Desarrollador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Git, .gitignore, ramas main/develop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Desarrollador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al VPS y prueba de humo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Desarrollador + IT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Habilitar HTTPS (certificado SSL)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Corregir inconsistencias de BD (ACT_USUA)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DBA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checklist de seguridad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+ Desarrollador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Tiempo total estimado: 6 a 9 horas de trabajo</w:t>
      </w:r>
    </w:p>
    <w:p>
      <w:pPr>
        <w:spacing w:after="60" w:before="60"/>
      </w:pPr>
      <w:r>
        <w:t xml:space="preserve"/>
      </w:r>
    </w:p>
    <w:p>
      <w:pPr>
        <w:pBdr>
          <w:left w:val="single" w:color="C55A11" w:sz="8"/>
        </w:pBdr>
        <w:shd w:fill="FFF2CC" w:val="clear"/>
        <w:spacing w:after="80" w:before="80"/>
        <w:ind w:left="180" w:right="18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IMPORTANTE: </w:t>
      </w:r>
      <w:r>
        <w:rPr>
          <w:rFonts w:ascii="Arial" w:cs="Arial" w:eastAsia="Arial" w:hAnsi="Arial"/>
          <w:color w:val="C55A11"/>
          <w:sz w:val="20"/>
          <w:szCs w:val="20"/>
        </w:rPr>
        <w:t xml:space="preserve">El orden importa. No avanzar a la Fase 3 (API) sin completar la Fase 1 (SQL Server seguro). No abrir al exterior sin completar la Fase 7 (seguridad).</w:t>
      </w:r>
    </w:p>
    <w:p>
      <w:pPr>
        <w:spacing w:after="60" w:before="60"/>
      </w:pPr>
      <w:r>
        <w:t xml:space="preserve"/>
      </w:r>
    </w:p>
    <w:p>
      <w:pPr>
        <w:pBdr>
          <w:left w:val="single" w:color="375623" w:sz="8"/>
        </w:pBdr>
        <w:shd w:fill="EBF3E8" w:val="clear"/>
        <w:spacing w:after="80" w:before="80"/>
        <w:ind w:left="180" w:right="18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</w:t>
      </w:r>
      <w:r>
        <w:rPr>
          <w:rFonts w:ascii="Arial" w:cs="Arial" w:eastAsia="Arial" w:hAnsi="Arial"/>
          <w:color w:val="1A3A1A"/>
          <w:sz w:val="20"/>
          <w:szCs w:val="20"/>
        </w:rPr>
        <w:t xml:space="preserve">El sistema ya tiene una base sólida: tablas bien diseñadas, esquema de seguridad (SEC.*), vistas listas para consumir desde la API, y auditoría completa. El trabajo que queda es de infraestructura y conexión, no de rediseño de datos.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Confidencial — Solo uso interno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MineDax — Guía de Migración a Producción Online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Collective Mining  | 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2026-05-11T13:42:12.615Z</dcterms:created>
  <dcterms:modified xsi:type="dcterms:W3CDTF">2026-05-11T13:42:12.615Z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