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1F4E78"/>
          <w:sz w:val="36"/>
        </w:rPr>
        <w:t>Análisis del Error de Importación MineDax</w:t>
      </w:r>
    </w:p>
    <w:p>
      <w:pPr>
        <w:spacing w:after="240"/>
      </w:pPr>
      <w:r>
        <w:t>Error: Converting data type nvarchar to bigint</w:t>
      </w:r>
    </w:p>
    <w:p>
      <w:pPr>
        <w:spacing w:before="240" w:after="120"/>
      </w:pPr>
      <w:r>
        <w:rPr>
          <w:b/>
          <w:color w:val="2E75B6"/>
          <w:sz w:val="28"/>
        </w:rPr>
        <w:t>1. Descripción del Problema</w:t>
      </w:r>
    </w:p>
    <w:p>
      <w:pPr>
        <w:spacing w:after="120"/>
      </w:pPr>
      <w:r>
        <w:t>El error que se presenta en MineDax indica que el sistema intenta convertir un valor de tipo texto (nvarchar) a un número entero grande (bigint). Este error ocurre en la columna CÉDULA del archivo Excel.</w:t>
      </w:r>
    </w:p>
    <w:p>
      <w:r>
        <w:rPr>
          <w:b/>
          <w:color w:val="4472C4"/>
          <w:sz w:val="24"/>
        </w:rPr>
        <w:t>Causa Raíz</w:t>
      </w:r>
    </w:p>
    <w:p>
      <w:pPr>
        <w:pStyle w:val="ListBullet"/>
      </w:pPr>
      <w:r>
        <w:t>El campo [object Object] en la tabla está causando que MineDax no pueda procesarlo correctamente</w:t>
      </w:r>
    </w:p>
    <w:p>
      <w:pPr>
        <w:pStyle w:val="ListBullet"/>
      </w:pPr>
      <w:r>
        <w:t>Este tipo de representación indica un error en la serialización o lectura de los datos</w:t>
      </w:r>
    </w:p>
    <w:p>
      <w:pPr>
        <w:pStyle w:val="ListBullet"/>
      </w:pPr>
      <w:r>
        <w:t>Los datos están siendo interpretados como objetos complejos en lugar de valores simples</w:t>
      </w:r>
    </w:p>
    <w:p>
      <w:pPr>
        <w:spacing w:before="240" w:after="120"/>
      </w:pPr>
      <w:r>
        <w:rPr>
          <w:b/>
          <w:color w:val="2E75B6"/>
          <w:sz w:val="28"/>
        </w:rPr>
        <w:t>2. Soluciones Propuestas</w:t>
      </w:r>
    </w:p>
    <w:p>
      <w:pPr>
        <w:spacing w:after="60"/>
      </w:pPr>
      <w:r>
        <w:rPr>
          <w:b/>
          <w:color w:val="4472C4"/>
          <w:sz w:val="24"/>
        </w:rPr>
        <w:t>Opción A: Filtro de Datos en MineDax (RECOMENDADO)</w:t>
      </w:r>
    </w:p>
    <w:p>
      <w:pPr>
        <w:pStyle w:val="ListBullet"/>
      </w:pPr>
      <w:r>
        <w:t>Crear una función de validación en el módulo de importación que:</w:t>
      </w:r>
    </w:p>
    <w:p>
      <w:pPr>
        <w:pStyle w:val="ListBullet2"/>
      </w:pPr>
      <w:r>
        <w:t>Detecte valores del tipo [object Object]</w:t>
      </w:r>
    </w:p>
    <w:p>
      <w:pPr>
        <w:pStyle w:val="ListBullet2"/>
      </w:pPr>
      <w:r>
        <w:t>Los traduzca a un formato válido (string, número o NULL)</w:t>
      </w:r>
    </w:p>
    <w:p>
      <w:pPr>
        <w:pStyle w:val="ListBullet2"/>
      </w:pPr>
      <w:r>
        <w:t>Registre los cambios en un log para auditoría</w:t>
      </w:r>
    </w:p>
    <w:p>
      <w:pPr>
        <w:pStyle w:val="ListBullet2"/>
      </w:pPr>
      <w:r>
        <w:t>Permita continuar con la importación sin detenerla</w:t>
      </w:r>
    </w:p>
    <w:p>
      <w:pPr>
        <w:spacing w:before="120" w:after="60"/>
      </w:pPr>
      <w:r>
        <w:rPr>
          <w:b/>
          <w:color w:val="4472C4"/>
          <w:sz w:val="24"/>
        </w:rPr>
        <w:t>Opción B: Validación con Traducción de Tipos</w:t>
      </w:r>
    </w:p>
    <w:p>
      <w:pPr>
        <w:pStyle w:val="ListBullet"/>
      </w:pPr>
      <w:r>
        <w:t>Implementar en la capa de acceso a datos un conversor que:</w:t>
      </w:r>
    </w:p>
    <w:p>
      <w:pPr>
        <w:pStyle w:val="ListBullet2"/>
      </w:pPr>
      <w:r>
        <w:t>Realice TRY-CATCH en cada conversión de tipo</w:t>
      </w:r>
    </w:p>
    <w:p>
      <w:pPr>
        <w:pStyle w:val="ListBullet2"/>
      </w:pPr>
      <w:r>
        <w:t>Si falla, intente conversiones alternativas</w:t>
      </w:r>
    </w:p>
    <w:p>
      <w:pPr>
        <w:pStyle w:val="ListBullet2"/>
      </w:pPr>
      <w:r>
        <w:t>Como último recurso, asigne un valor por defecto o NULL</w:t>
      </w:r>
    </w:p>
    <w:p>
      <w:pPr>
        <w:pStyle w:val="ListBullet2"/>
      </w:pPr>
      <w:r>
        <w:t>Registre la fila problemática para revisión posterior</w:t>
      </w:r>
    </w:p>
    <w:p>
      <w:pPr>
        <w:spacing w:before="120" w:after="60"/>
      </w:pPr>
      <w:r>
        <w:rPr>
          <w:b/>
          <w:color w:val="4472C4"/>
          <w:sz w:val="24"/>
        </w:rPr>
        <w:t>Opción C: Estrategia Híbrida (RECOMENDADA PARA PRODUCCIÓN) ★</w:t>
      </w:r>
    </w:p>
    <w:p>
      <w:pPr>
        <w:pStyle w:val="ListBullet"/>
      </w:pPr>
      <w:r>
        <w:t>Combinar ambas aproximaciones:</w:t>
      </w:r>
    </w:p>
    <w:p>
      <w:pPr>
        <w:pStyle w:val="ListBullet2"/>
      </w:pPr>
      <w:r>
        <w:t>Validación previa en MineDax</w:t>
      </w:r>
    </w:p>
    <w:p>
      <w:pPr>
        <w:pStyle w:val="ListBullet2"/>
      </w:pPr>
      <w:r>
        <w:t>Conversor de tipos robusto en BD</w:t>
      </w:r>
    </w:p>
    <w:p>
      <w:pPr>
        <w:pStyle w:val="ListBullet2"/>
      </w:pPr>
      <w:r>
        <w:t>Tabla de auditoría para registrar todas las conversiones fallidas</w:t>
      </w:r>
    </w:p>
    <w:p>
      <w:pPr>
        <w:pStyle w:val="ListBullet2"/>
      </w:pPr>
      <w:r>
        <w:t>Dashboard para revisar y resolver discrepancias</w:t>
      </w:r>
    </w:p>
    <w:p>
      <w:pPr>
        <w:spacing w:before="240" w:after="120"/>
      </w:pPr>
      <w:r>
        <w:rPr>
          <w:b/>
          <w:color w:val="2E75B6"/>
          <w:sz w:val="28"/>
        </w:rPr>
        <w:t>3. Ejemplo de Implementación en SQL Server</w:t>
      </w:r>
    </w:p>
    <w:p>
      <w:r>
        <w:rPr>
          <w:b/>
        </w:rPr>
        <w:t>Función de conversión segura con manejo de errores:</w:t>
      </w:r>
    </w:p>
    <w:p>
      <w:pPr>
        <w:spacing w:after="240"/>
        <w:ind w:left="720"/>
      </w:pPr>
      <w:r>
        <w:rPr>
          <w:rFonts w:ascii="Courier New" w:hAnsi="Courier New"/>
          <w:color w:val="333333"/>
          <w:sz w:val="18"/>
        </w:rPr>
        <w:t>CREATE FUNCTION dbo.SafeConvertToBigInt(@value NVARCHAR(MAX))</w:t>
        <w:br/>
        <w:t>RETURNS BIGINT AS</w:t>
        <w:br/>
        <w:t>BEGIN</w:t>
        <w:br/>
        <w:t xml:space="preserve">  BEGIN TRY</w:t>
        <w:br/>
        <w:t xml:space="preserve">    RETURN CAST(@value AS BIGINT)</w:t>
        <w:br/>
        <w:t xml:space="preserve">  END TRY</w:t>
        <w:br/>
        <w:t xml:space="preserve">  BEGIN CATCH</w:t>
        <w:br/>
        <w:t xml:space="preserve">    INSERT INTO dbo.ConversionErrors (original_value, error_message)</w:t>
        <w:br/>
        <w:t xml:space="preserve">    VALUES (@value, ERROR_MESSAGE())</w:t>
        <w:br/>
        <w:t xml:space="preserve">    RETURN NULL</w:t>
        <w:br/>
        <w:t xml:space="preserve">  END CATCH</w:t>
        <w:br/>
        <w:t>END</w:t>
      </w:r>
    </w:p>
    <w:p>
      <w:pPr>
        <w:spacing w:before="240" w:after="120"/>
      </w:pPr>
      <w:r>
        <w:rPr>
          <w:b/>
          <w:color w:val="2E75B6"/>
          <w:sz w:val="28"/>
        </w:rPr>
        <w:t>4. Ventajas de No Editar el Documento Base</w:t>
      </w:r>
    </w:p>
    <w:p>
      <w:pPr>
        <w:pStyle w:val="ListBullet"/>
      </w:pPr>
      <w:r>
        <w:t>Mantiene la integridad de la fuente de datos original</w:t>
      </w:r>
    </w:p>
    <w:p>
      <w:pPr>
        <w:pStyle w:val="ListBullet"/>
      </w:pPr>
      <w:r>
        <w:t>Permite auditoría completa de transformaciones realizadas</w:t>
      </w:r>
    </w:p>
    <w:p>
      <w:pPr>
        <w:pStyle w:val="ListBullet"/>
      </w:pPr>
      <w:r>
        <w:t>Facilita reintentos con lógica mejorada sin afectar datos origen</w:t>
      </w:r>
    </w:p>
    <w:p>
      <w:pPr>
        <w:pStyle w:val="ListBullet"/>
      </w:pPr>
      <w:r>
        <w:t>Cumple con buenas prácticas de ETL</w:t>
      </w:r>
    </w:p>
    <w:p>
      <w:pPr>
        <w:spacing w:before="240" w:after="120"/>
      </w:pPr>
      <w:r>
        <w:rPr>
          <w:b/>
          <w:color w:val="2E75B6"/>
          <w:sz w:val="28"/>
        </w:rPr>
        <w:t>5. Resumen de Recomendaciones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Solución</w:t>
            </w:r>
          </w:p>
        </w:tc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Opción A</w:t>
            </w:r>
          </w:p>
        </w:tc>
        <w:tc>
          <w:tcPr>
            <w:tcW w:type="dxa" w:w="4320"/>
          </w:tcPr>
          <w:p>
            <w:r>
              <w:t>Filtro en MineDax para detectar y traducir [object Object]</w:t>
            </w:r>
          </w:p>
        </w:tc>
      </w:tr>
      <w:tr>
        <w:tc>
          <w:tcPr>
            <w:tcW w:type="dxa" w:w="4320"/>
          </w:tcPr>
          <w:p>
            <w:r>
              <w:t>Opción B</w:t>
            </w:r>
          </w:p>
        </w:tc>
        <w:tc>
          <w:tcPr>
            <w:tcW w:type="dxa" w:w="4320"/>
          </w:tcPr>
          <w:p>
            <w:r>
              <w:t>Conversor seguro en BD con manejo de excepciones</w:t>
            </w:r>
          </w:p>
        </w:tc>
      </w:tr>
      <w:tr>
        <w:tc>
          <w:tcPr>
            <w:tcW w:type="dxa" w:w="4320"/>
            <w:shd w:fill="E7E6E6"/>
          </w:tcPr>
          <w:p>
            <w:r>
              <w:t>Opción C ★</w:t>
            </w:r>
          </w:p>
        </w:tc>
        <w:tc>
          <w:tcPr>
            <w:tcW w:type="dxa" w:w="4320"/>
            <w:shd w:fill="E7E6E6"/>
          </w:tcPr>
          <w:p>
            <w:r>
              <w:t>Híbrida: Validación + Conversión + Auditoría (RECOMENDADA)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del Error de Importación MineDax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