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F4E78"/>
          <w:sz w:val="36"/>
        </w:rPr>
        <w:t>Implementación Técnica - Soluciones para MineDax</w:t>
      </w:r>
    </w:p>
    <w:p>
      <w:pPr>
        <w:spacing w:before="240" w:after="120"/>
      </w:pPr>
      <w:r>
        <w:rPr>
          <w:b/>
          <w:color w:val="2E75B6"/>
          <w:sz w:val="28"/>
        </w:rPr>
        <w:t>ARQUITECTURA DE SOLUCIÓN HÍBRIDA</w:t>
      </w:r>
    </w:p>
    <w:p>
      <w:r>
        <w:rPr>
          <w:b/>
          <w:color w:val="4472C4"/>
          <w:sz w:val="22"/>
        </w:rPr>
        <w:t>Capa 1: MineDax (Validación de Entrada)</w:t>
      </w:r>
    </w:p>
    <w:p>
      <w:pPr>
        <w:pStyle w:val="ListBullet"/>
      </w:pPr>
      <w:r>
        <w:t>Detectar y limpiar [object Object]</w:t>
      </w:r>
    </w:p>
    <w:p>
      <w:pPr>
        <w:pStyle w:val="ListBullet"/>
      </w:pPr>
      <w:r>
        <w:t>Registrar en log cada validación</w:t>
      </w:r>
    </w:p>
    <w:p>
      <w:r>
        <w:rPr>
          <w:b/>
          <w:color w:val="4472C4"/>
          <w:sz w:val="22"/>
        </w:rPr>
        <w:t>Capa 2: Transformación (Conversor)</w:t>
      </w:r>
    </w:p>
    <w:p>
      <w:pPr>
        <w:pStyle w:val="ListBullet"/>
      </w:pPr>
      <w:r>
        <w:t>TRY-CATCH para cada campo crítico</w:t>
      </w:r>
    </w:p>
    <w:p>
      <w:pPr>
        <w:pStyle w:val="ListBullet"/>
      </w:pPr>
      <w:r>
        <w:t>Fallback a NULL si no es convertible</w:t>
      </w:r>
    </w:p>
    <w:p>
      <w:r>
        <w:rPr>
          <w:b/>
          <w:color w:val="4472C4"/>
          <w:sz w:val="22"/>
        </w:rPr>
        <w:t>Capa 3: SQL Server (Auditoría)</w:t>
      </w:r>
    </w:p>
    <w:p>
      <w:pPr>
        <w:pStyle w:val="ListBullet"/>
      </w:pPr>
      <w:r>
        <w:t>Función de conversión segura</w:t>
      </w:r>
    </w:p>
    <w:p>
      <w:pPr>
        <w:pStyle w:val="ListBullet"/>
      </w:pPr>
      <w:r>
        <w:t>Tabla de errores para revisión</w:t>
      </w:r>
    </w:p>
    <w:p>
      <w:pPr>
        <w:spacing w:before="240" w:after="120"/>
      </w:pPr>
      <w:r>
        <w:rPr>
          <w:b/>
          <w:color w:val="2E75B6"/>
          <w:sz w:val="28"/>
        </w:rPr>
        <w:br/>
        <w:t>CÓDIGO EJEMPLO 1: Función SQL Server</w:t>
      </w:r>
    </w:p>
    <w:p>
      <w:pPr>
        <w:spacing w:after="240"/>
        <w:ind w:left="360"/>
      </w:pPr>
      <w:r>
        <w:rPr>
          <w:rFonts w:ascii="Courier New" w:hAnsi="Courier New"/>
          <w:color w:val="333333"/>
          <w:sz w:val="16"/>
        </w:rPr>
        <w:t>-- Función para conversión segura de CÉDULA</w:t>
        <w:br/>
        <w:t>CREATE FUNCTION dbo.SafeConvertToBigInt(</w:t>
        <w:br/>
        <w:t xml:space="preserve">    @value NVARCHAR(MAX)</w:t>
        <w:br/>
        <w:t>) RETURNS BIGINT AS</w:t>
        <w:br/>
        <w:t>BEGIN</w:t>
        <w:br/>
        <w:t xml:space="preserve">    DECLARE @result BIGINT = NULL</w:t>
        <w:br/>
        <w:t xml:space="preserve">    </w:t>
        <w:br/>
        <w:t xml:space="preserve">    BEGIN TRY</w:t>
        <w:br/>
        <w:t xml:space="preserve">        -- Intentar conversión directa</w:t>
        <w:br/>
        <w:t xml:space="preserve">        SET @result = CAST(@value AS BIGINT)</w:t>
        <w:br/>
        <w:t xml:space="preserve">    END TRY</w:t>
        <w:br/>
        <w:t xml:space="preserve">    BEGIN CATCH</w:t>
        <w:br/>
        <w:t xml:space="preserve">        -- Si falla, registrar error</w:t>
        <w:br/>
        <w:t xml:space="preserve">        INSERT INTO dbo.ConversionErrors (</w:t>
        <w:br/>
        <w:t xml:space="preserve">            original_value, </w:t>
        <w:br/>
        <w:t xml:space="preserve">            error_number, </w:t>
        <w:br/>
        <w:t xml:space="preserve">            error_message, </w:t>
        <w:br/>
        <w:t xml:space="preserve">            error_date</w:t>
        <w:br/>
        <w:t xml:space="preserve">        )</w:t>
        <w:br/>
        <w:t xml:space="preserve">        VALUES (</w:t>
        <w:br/>
        <w:t xml:space="preserve">            @value, </w:t>
        <w:br/>
        <w:t xml:space="preserve">            ERROR_NUMBER(), </w:t>
        <w:br/>
        <w:t xml:space="preserve">            ERROR_MESSAGE(), </w:t>
        <w:br/>
        <w:t xml:space="preserve">            GETDATE()</w:t>
        <w:br/>
        <w:t xml:space="preserve">        )</w:t>
        <w:br/>
        <w:t xml:space="preserve">        </w:t>
        <w:br/>
        <w:t xml:space="preserve">        SET @result = NULL</w:t>
        <w:br/>
        <w:t xml:space="preserve">    END CATCH</w:t>
        <w:br/>
        <w:t xml:space="preserve">    </w:t>
        <w:br/>
        <w:t xml:space="preserve">    RETURN @result</w:t>
        <w:br/>
        <w:t>END</w:t>
        <w:br/>
        <w:t>GO</w:t>
      </w:r>
    </w:p>
    <w:p>
      <w:pPr>
        <w:spacing w:before="240" w:after="120"/>
      </w:pPr>
      <w:r>
        <w:rPr>
          <w:b/>
          <w:color w:val="2E75B6"/>
          <w:sz w:val="28"/>
        </w:rPr>
        <w:t>CÓDIGO EJEMPLO 2: Tabla de Auditoría</w:t>
      </w:r>
    </w:p>
    <w:p>
      <w:pPr>
        <w:spacing w:after="240"/>
        <w:ind w:left="360"/>
      </w:pPr>
      <w:r>
        <w:rPr>
          <w:rFonts w:ascii="Courier New" w:hAnsi="Courier New"/>
          <w:color w:val="333333"/>
          <w:sz w:val="16"/>
        </w:rPr>
        <w:t>-- Tabla para registrar errores de conversión</w:t>
        <w:br/>
        <w:t>CREATE TABLE dbo.ConversionErrors (</w:t>
        <w:br/>
        <w:t xml:space="preserve">    error_id INT PRIMARY KEY IDENTITY(1,1),</w:t>
        <w:br/>
        <w:t xml:space="preserve">    original_value NVARCHAR(MAX),</w:t>
        <w:br/>
        <w:t xml:space="preserve">    error_number INT,</w:t>
        <w:br/>
        <w:t xml:space="preserve">    error_message NVARCHAR(MAX),</w:t>
        <w:br/>
        <w:t xml:space="preserve">    error_date DATETIME DEFAULT GETDATE(),</w:t>
        <w:br/>
        <w:t xml:space="preserve">    processed BIT DEFAULT 0,</w:t>
        <w:br/>
        <w:t xml:space="preserve">    resolution_notes NVARCHAR(MAX) NULL,</w:t>
        <w:br/>
        <w:t xml:space="preserve">    resolved_value BIGINT NULL,</w:t>
        <w:br/>
        <w:t xml:space="preserve">    INDEX idx_processed ON processed</w:t>
        <w:br/>
        <w:t>)</w:t>
        <w:br/>
        <w:br/>
        <w:t>-- Tabla de auditoría para importaciones</w:t>
        <w:br/>
        <w:t>CREATE TABLE dbo.ImportAudit (</w:t>
        <w:br/>
        <w:t xml:space="preserve">    import_id INT PRIMARY KEY IDENTITY(1,1),</w:t>
        <w:br/>
        <w:t xml:space="preserve">    import_date DATETIME DEFAULT GETDATE(),</w:t>
        <w:br/>
        <w:t xml:space="preserve">    total_records INT,</w:t>
        <w:br/>
        <w:t xml:space="preserve">    successful_records INT,</w:t>
        <w:br/>
        <w:t xml:space="preserve">    failed_records INT,</w:t>
        <w:br/>
        <w:t xml:space="preserve">    conversion_errors INT,</w:t>
        <w:br/>
        <w:t xml:space="preserve">    import_status NVARCHAR(50)</w:t>
        <w:br/>
        <w:t>)</w:t>
      </w:r>
    </w:p>
    <w:p>
      <w:pPr>
        <w:spacing w:before="240" w:after="120"/>
      </w:pPr>
      <w:r>
        <w:rPr>
          <w:b/>
          <w:color w:val="2E75B6"/>
          <w:sz w:val="28"/>
        </w:rPr>
        <w:t>CÓDIGO EJEMPLO 3: Stored Procedure con Validación</w:t>
      </w:r>
    </w:p>
    <w:p>
      <w:pPr>
        <w:spacing w:after="240"/>
        <w:ind w:left="360"/>
      </w:pPr>
      <w:r>
        <w:rPr>
          <w:rFonts w:ascii="Courier New" w:hAnsi="Courier New"/>
          <w:color w:val="333333"/>
          <w:sz w:val="16"/>
        </w:rPr>
        <w:t>-- SP para insertar novedades con validación</w:t>
        <w:br/>
        <w:t>CREATE PROCEDURE dbo.InsertNovedadConValidacion (</w:t>
        <w:br/>
        <w:t xml:space="preserve">    @cedula NVARCHAR(20),</w:t>
        <w:br/>
        <w:t xml:space="preserve">    @nombre NVARCHAR(200),</w:t>
        <w:br/>
        <w:t xml:space="preserve">    @cargo NVARCHAR(100),</w:t>
        <w:br/>
        <w:t xml:space="preserve">    @importId INT</w:t>
        <w:br/>
        <w:t>) AS</w:t>
        <w:br/>
        <w:t>BEGIN</w:t>
        <w:br/>
        <w:t xml:space="preserve">    DECLARE @cedulaNumerico BIGINT</w:t>
        <w:br/>
        <w:t xml:space="preserve">    DECLARE @rowsAffected INT = 0</w:t>
        <w:br/>
        <w:t xml:space="preserve">    </w:t>
        <w:br/>
        <w:t xml:space="preserve">    -- Usar función de conversión segura</w:t>
        <w:br/>
        <w:t xml:space="preserve">    SET @cedulaNumerico = dbo.SafeConvertToBigInt(@cedula)</w:t>
        <w:br/>
        <w:t xml:space="preserve">    </w:t>
        <w:br/>
        <w:t xml:space="preserve">    BEGIN TRY</w:t>
        <w:br/>
        <w:t xml:space="preserve">        IF @cedulaNumerico IS NOT NULL</w:t>
        <w:br/>
        <w:t xml:space="preserve">        BEGIN</w:t>
        <w:br/>
        <w:t xml:space="preserve">            INSERT INTO dbo.Empleados (cedula, nombre, cargo)</w:t>
        <w:br/>
        <w:t xml:space="preserve">            VALUES (@cedulaNumerico, @nombre, @cargo)</w:t>
        <w:br/>
        <w:t xml:space="preserve">            SET @rowsAffected = @@ROWCOUNT</w:t>
        <w:br/>
        <w:t xml:space="preserve">        END</w:t>
        <w:br/>
        <w:t xml:space="preserve">        ELSE</w:t>
        <w:br/>
        <w:t xml:space="preserve">        BEGIN</w:t>
        <w:br/>
        <w:t xml:space="preserve">            -- Si conversión falló, registrarlo en auditoría</w:t>
        <w:br/>
        <w:t xml:space="preserve">            UPDATE dbo.ImportAudit </w:t>
        <w:br/>
        <w:t xml:space="preserve">            SET failed_records = failed_records + 1,</w:t>
        <w:br/>
        <w:t xml:space="preserve">                conversion_errors = conversion_errors + 1</w:t>
        <w:br/>
        <w:t xml:space="preserve">            WHERE import_id = @importId</w:t>
        <w:br/>
        <w:t xml:space="preserve">        END</w:t>
        <w:br/>
        <w:t xml:space="preserve">    END TRY</w:t>
        <w:br/>
        <w:t xml:space="preserve">    BEGIN CATCH</w:t>
        <w:br/>
        <w:t xml:space="preserve">        UPDATE dbo.ImportAudit </w:t>
        <w:br/>
        <w:t xml:space="preserve">        SET import_status = 'ERROR',</w:t>
        <w:br/>
        <w:t xml:space="preserve">            failed_records = failed_records + 1</w:t>
        <w:br/>
        <w:t xml:space="preserve">        WHERE import_id = @importId</w:t>
        <w:br/>
        <w:t xml:space="preserve">        </w:t>
        <w:br/>
        <w:t xml:space="preserve">        RAISERROR('Error al insertar novedad: %s', 16, 1, ERROR_MESSAGE())</w:t>
        <w:br/>
        <w:t xml:space="preserve">    END CATCH</w:t>
        <w:br/>
        <w:t xml:space="preserve">    </w:t>
        <w:br/>
        <w:t xml:space="preserve">    RETURN @rowsAffected</w:t>
        <w:br/>
        <w:t>END</w:t>
      </w:r>
    </w:p>
    <w:p>
      <w:pPr>
        <w:spacing w:before="240" w:after="120"/>
      </w:pPr>
      <w:r>
        <w:rPr>
          <w:b/>
          <w:color w:val="2E75B6"/>
          <w:sz w:val="28"/>
        </w:rPr>
        <w:t>QUERY PARA REVISAR ERRORES DE IMPORTACIÓN</w:t>
      </w:r>
    </w:p>
    <w:p>
      <w:pPr>
        <w:spacing w:after="240"/>
        <w:ind w:left="360"/>
      </w:pPr>
      <w:r>
        <w:rPr>
          <w:rFonts w:ascii="Courier New" w:hAnsi="Courier New"/>
          <w:color w:val="333333"/>
          <w:sz w:val="16"/>
        </w:rPr>
        <w:t>-- Vista para revisar problemas de importación</w:t>
        <w:br/>
        <w:t xml:space="preserve">SELECT </w:t>
        <w:br/>
        <w:t xml:space="preserve">    ia.import_id,</w:t>
        <w:br/>
        <w:t xml:space="preserve">    ia.import_date,</w:t>
        <w:br/>
        <w:t xml:space="preserve">    ia.total_records,</w:t>
        <w:br/>
        <w:t xml:space="preserve">    ia.successful_records,</w:t>
        <w:br/>
        <w:t xml:space="preserve">    ia.failed_records,</w:t>
        <w:br/>
        <w:t xml:space="preserve">    ia.conversion_errors,</w:t>
        <w:br/>
        <w:t xml:space="preserve">    COUNT(ce.error_id) as pendientes_revision</w:t>
        <w:br/>
        <w:t>FROM dbo.ImportAudit ia</w:t>
        <w:br/>
        <w:t>LEFT JOIN dbo.ConversionErrors ce ON ce.error_date &gt;= ia.import_date</w:t>
        <w:br/>
        <w:t>WHERE ia.import_status != 'COMPLETED'</w:t>
        <w:br/>
        <w:t xml:space="preserve">GROUP BY ia.import_id, ia.import_date, ia.total_records, </w:t>
        <w:br/>
        <w:t xml:space="preserve">         ia.successful_records, ia.failed_records, ia.conversion_errors</w:t>
        <w:br/>
        <w:t>ORDER BY ia.import_date DESC</w:t>
      </w:r>
    </w:p>
    <w:p>
      <w:pPr>
        <w:spacing w:before="240" w:after="120"/>
      </w:pPr>
      <w:r>
        <w:rPr>
          <w:b/>
          <w:color w:val="2E75B6"/>
          <w:sz w:val="28"/>
        </w:rPr>
        <w:br/>
        <w:t>FLUJO DE DATOS RECOMENDADO</w:t>
      </w:r>
    </w:p>
    <w:p>
      <w:pPr>
        <w:pStyle w:val="ListBullet"/>
      </w:pPr>
      <w:r>
        <w:t>1. Excel → MineDax (Validación de campos [object Object])</w:t>
      </w:r>
    </w:p>
    <w:p>
      <w:pPr>
        <w:pStyle w:val="ListBullet"/>
      </w:pPr>
      <w:r>
        <w:t>2. MineDax → Conversión (Aplicar SafeConvertToBigInt)</w:t>
      </w:r>
    </w:p>
    <w:p>
      <w:pPr>
        <w:pStyle w:val="ListBullet"/>
      </w:pPr>
      <w:r>
        <w:t>3. Conversión → BD (Insertar en Empleados)</w:t>
      </w:r>
    </w:p>
    <w:p>
      <w:pPr>
        <w:pStyle w:val="ListBullet"/>
      </w:pPr>
      <w:r>
        <w:t>4. BD → Auditoría (Registrar en ImportAudit)</w:t>
      </w:r>
    </w:p>
    <w:p>
      <w:pPr>
        <w:pStyle w:val="ListBullet"/>
      </w:pPr>
      <w:r>
        <w:t>5. Errores → ConversionErrors (Tabla de revisión)</w:t>
      </w:r>
    </w:p>
    <w:p>
      <w:pPr>
        <w:pStyle w:val="ListBullet"/>
      </w:pPr>
      <w:r>
        <w:t>6. Admin revisa → Resolución manual o reintentos</w:t>
      </w:r>
    </w:p>
    <w:p>
      <w:pPr>
        <w:spacing w:before="240" w:after="120"/>
      </w:pPr>
      <w:r>
        <w:rPr>
          <w:b/>
          <w:color w:val="2E75B6"/>
          <w:sz w:val="28"/>
        </w:rPr>
        <w:br/>
        <w:t>VENTAJAS DE ESTA APROXIMACIÓN</w:t>
      </w:r>
    </w:p>
    <w:p>
      <w:pPr>
        <w:pStyle w:val="ListBullet"/>
      </w:pPr>
      <w:r>
        <w:t>No requiere editar el Excel original</w:t>
      </w:r>
    </w:p>
    <w:p>
      <w:pPr>
        <w:pStyle w:val="ListBullet"/>
      </w:pPr>
      <w:r>
        <w:t>Importación no se detiene por errores</w:t>
      </w:r>
    </w:p>
    <w:p>
      <w:pPr>
        <w:pStyle w:val="ListBullet"/>
      </w:pPr>
      <w:r>
        <w:t>Auditoría completa de todas las transformaciones</w:t>
      </w:r>
    </w:p>
    <w:p>
      <w:pPr>
        <w:pStyle w:val="ListBullet"/>
      </w:pPr>
      <w:r>
        <w:t>Identifica exactamente qué valores causan problemas</w:t>
      </w:r>
    </w:p>
    <w:p>
      <w:pPr>
        <w:pStyle w:val="ListBullet"/>
      </w:pPr>
      <w:r>
        <w:t>Permite revisión manual antes de marcar como completado</w:t>
      </w:r>
    </w:p>
    <w:p>
      <w:pPr>
        <w:pStyle w:val="ListBullet"/>
      </w:pPr>
      <w:r>
        <w:t>Base para futuras mejoras en validación</w:t>
      </w:r>
    </w:p>
    <w:p>
      <w:pPr>
        <w:pStyle w:val="ListBullet"/>
      </w:pPr>
      <w:r>
        <w:t>Escalable a otros campos problemáticos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