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b/>
          <w:color w:val="1F4E78"/>
          <w:sz w:val="40"/>
        </w:rPr>
        <w:t>RESUMEN EJECUTIVO</w:t>
      </w:r>
    </w:p>
    <w:p>
      <w:pPr>
        <w:spacing w:after="240"/>
        <w:jc w:val="center"/>
      </w:pPr>
      <w:r>
        <w:rPr>
          <w:sz w:val="24"/>
        </w:rPr>
        <w:t>Solución del Error de Importación de Datos MineDax</w:t>
      </w:r>
    </w:p>
    <w:p>
      <w:r>
        <w:rPr>
          <w:b/>
          <w:color w:val="C00000"/>
          <w:sz w:val="26"/>
        </w:rPr>
        <w:t>PROBLEMA IDENTIFICADO</w:t>
      </w:r>
    </w:p>
    <w:p>
      <w:pPr>
        <w:spacing w:after="240"/>
      </w:pPr>
      <w:r>
        <w:t>MineDax presenta un error al importar datos del archivo Excel: 'Converting data type nvarchar to bigint'. El problema se origina cuando el sistema intenta convertir valores de tipo [object Object] a números enteros (BIGINT) en la columna CÉDULA.</w:t>
      </w:r>
    </w:p>
    <w:p>
      <w:r>
        <w:rPr>
          <w:b/>
          <w:color w:val="2E75B6"/>
          <w:sz w:val="26"/>
        </w:rPr>
        <w:t>CAUSA RAÍZ</w:t>
      </w:r>
    </w:p>
    <w:p>
      <w:pPr>
        <w:pStyle w:val="ListBullet"/>
      </w:pPr>
      <w:r>
        <w:t>Valores serializados como objetos complejos en lugar de valores primitivos</w:t>
      </w:r>
    </w:p>
    <w:p>
      <w:pPr>
        <w:pStyle w:val="ListBullet"/>
      </w:pPr>
      <w:r>
        <w:t>Falta de validación de tipos antes de la conversión</w:t>
      </w:r>
    </w:p>
    <w:p>
      <w:pPr>
        <w:pStyle w:val="ListBullet"/>
      </w:pPr>
      <w:r>
        <w:t>Sin manejo de excepciones en la capa de lectura de datos</w:t>
      </w:r>
    </w:p>
    <w:p>
      <w:pPr>
        <w:spacing w:after="240"/>
      </w:pPr>
    </w:p>
    <w:p>
      <w:r>
        <w:rPr>
          <w:b/>
          <w:color w:val="C00000"/>
          <w:sz w:val="26"/>
        </w:rPr>
        <w:t>RESTRICCIÓN CRÍTICA</w:t>
      </w:r>
    </w:p>
    <w:p>
      <w:pPr>
        <w:spacing w:after="240"/>
      </w:pPr>
      <w:r>
        <w:t>No se puede editar el documento Excel original en este momento. Por lo tanto, la solución DEBE implementarse en MineDax o en SQL Server, sin modificar los datos de origen.</w:t>
      </w:r>
    </w:p>
    <w:p>
      <w:r>
        <w:rPr>
          <w:b/>
          <w:color w:val="2E75B6"/>
          <w:sz w:val="26"/>
        </w:rPr>
        <w:t>SOLUCIONES PROPUESTAS</w:t>
      </w:r>
    </w:p>
    <w:p>
      <w:pPr>
        <w:spacing w:before="120" w:after="60"/>
      </w:pPr>
      <w:r>
        <w:rPr>
          <w:b/>
        </w:rPr>
        <w:t>✓ OPCIÓN A: Validación en MineDax</w:t>
      </w:r>
    </w:p>
    <w:p>
      <w:pPr>
        <w:spacing w:after="120"/>
      </w:pPr>
      <w:r>
        <w:rPr>
          <w:b/>
        </w:rPr>
        <w:t xml:space="preserve">Alcance: </w:t>
      </w:r>
      <w:r>
        <w:t>Detectar y traducir valores [object Object] en MineDax</w:t>
      </w:r>
    </w:p>
    <w:p>
      <w:pPr>
        <w:spacing w:after="120"/>
      </w:pPr>
      <w:r>
        <w:rPr>
          <w:b/>
        </w:rPr>
        <w:t xml:space="preserve">Tiempo: </w:t>
      </w:r>
      <w:r>
        <w:t>1-2 semanas</w:t>
      </w:r>
    </w:p>
    <w:p>
      <w:pPr>
        <w:spacing w:after="240"/>
      </w:pPr>
      <w:r>
        <w:rPr>
          <w:b/>
        </w:rPr>
        <w:t xml:space="preserve">Recomendación: </w:t>
      </w:r>
      <w:r>
        <w:t>Para fase de prueba o baja criticidad</w:t>
      </w:r>
    </w:p>
    <w:p>
      <w:pPr>
        <w:spacing w:before="120" w:after="60"/>
      </w:pPr>
      <w:r>
        <w:rPr>
          <w:b/>
        </w:rPr>
        <w:t>✓ OPCIÓN B: Conversor en SQL Server</w:t>
      </w:r>
    </w:p>
    <w:p>
      <w:pPr>
        <w:spacing w:after="120"/>
      </w:pPr>
      <w:r>
        <w:rPr>
          <w:b/>
        </w:rPr>
        <w:t xml:space="preserve">Alcance: </w:t>
      </w:r>
      <w:r>
        <w:t>Función TRY-CATCH + tabla de errores en BD</w:t>
      </w:r>
    </w:p>
    <w:p>
      <w:pPr>
        <w:spacing w:after="120"/>
      </w:pPr>
      <w:r>
        <w:rPr>
          <w:b/>
        </w:rPr>
        <w:t xml:space="preserve">Tiempo: </w:t>
      </w:r>
      <w:r>
        <w:t>1-2 semanas</w:t>
      </w:r>
    </w:p>
    <w:p>
      <w:pPr>
        <w:spacing w:after="240"/>
      </w:pPr>
      <w:r>
        <w:rPr>
          <w:b/>
        </w:rPr>
        <w:t xml:space="preserve">Recomendación: </w:t>
      </w:r>
      <w:r>
        <w:t>Para auditoría centralizada en BD</w:t>
      </w:r>
    </w:p>
    <w:p>
      <w:pPr>
        <w:spacing w:before="120" w:after="60"/>
      </w:pPr>
      <w:r>
        <w:rPr>
          <w:b/>
          <w:color w:val="008000"/>
        </w:rPr>
        <w:t>★ OPCIÓN C: Estrategia Híbrida (RECOMENDADA)</w:t>
      </w:r>
    </w:p>
    <w:p>
      <w:pPr>
        <w:spacing w:after="120"/>
      </w:pPr>
      <w:r>
        <w:rPr>
          <w:b/>
        </w:rPr>
        <w:t xml:space="preserve">Alcance: </w:t>
      </w:r>
      <w:r>
        <w:t>Combina validación en MineDax + conversión segura en BD</w:t>
      </w:r>
    </w:p>
    <w:p>
      <w:pPr>
        <w:spacing w:after="120"/>
      </w:pPr>
      <w:r>
        <w:rPr>
          <w:b/>
        </w:rPr>
        <w:t xml:space="preserve">Tiempo: </w:t>
      </w:r>
      <w:r>
        <w:t>3-4 semanas</w:t>
      </w:r>
    </w:p>
    <w:p>
      <w:pPr>
        <w:spacing w:after="120"/>
      </w:pPr>
      <w:r>
        <w:rPr>
          <w:b/>
        </w:rPr>
        <w:t xml:space="preserve">Ventajas: </w:t>
      </w:r>
      <w:r>
        <w:t>Máxima confiabilidad, auditoría en dos capas, trazabilidad completa</w:t>
      </w:r>
    </w:p>
    <w:p>
      <w:pPr>
        <w:spacing w:after="240"/>
      </w:pPr>
      <w:r>
        <w:rPr>
          <w:b/>
        </w:rPr>
        <w:t xml:space="preserve">Recomendación: </w:t>
      </w:r>
      <w:r>
        <w:t>Para producción con datos críticos (RECOMENDADO)</w:t>
      </w:r>
    </w:p>
    <w:p>
      <w:r>
        <w:rPr>
          <w:b/>
          <w:color w:val="2E75B6"/>
          <w:sz w:val="26"/>
        </w:rPr>
        <w:br/>
        <w:t>COMPARATIVA RESUMIDA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Opción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Opción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Opción C ★</w:t>
            </w:r>
          </w:p>
        </w:tc>
      </w:tr>
      <w:tr>
        <w:tc>
          <w:tcPr>
            <w:tcW w:type="dxa" w:w="2160"/>
          </w:tcPr>
          <w:p>
            <w:r>
              <w:t>Complejidad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Auditoría</w:t>
            </w:r>
          </w:p>
        </w:tc>
        <w:tc>
          <w:tcPr>
            <w:tcW w:type="dxa" w:w="2160"/>
          </w:tcPr>
          <w:p>
            <w:r>
              <w:t>MineDax log</w:t>
            </w:r>
          </w:p>
        </w:tc>
        <w:tc>
          <w:tcPr>
            <w:tcW w:type="dxa" w:w="2160"/>
          </w:tcPr>
          <w:p>
            <w:r>
              <w:t>Tabla BD</w:t>
            </w:r>
          </w:p>
        </w:tc>
        <w:tc>
          <w:tcPr>
            <w:tcW w:type="dxa" w:w="2160"/>
          </w:tcPr>
          <w:p>
            <w:r>
              <w:t>Ambas capas</w:t>
            </w:r>
          </w:p>
        </w:tc>
      </w:tr>
      <w:tr>
        <w:tc>
          <w:tcPr>
            <w:tcW w:type="dxa" w:w="2160"/>
          </w:tcPr>
          <w:p>
            <w:r>
              <w:t>Recomendado para</w:t>
            </w:r>
          </w:p>
        </w:tc>
        <w:tc>
          <w:tcPr>
            <w:tcW w:type="dxa" w:w="2160"/>
          </w:tcPr>
          <w:p>
            <w:r>
              <w:t>Prueba</w:t>
            </w:r>
          </w:p>
        </w:tc>
        <w:tc>
          <w:tcPr>
            <w:tcW w:type="dxa" w:w="2160"/>
          </w:tcPr>
          <w:p>
            <w:r>
              <w:t>Producción aislada</w:t>
            </w:r>
          </w:p>
        </w:tc>
        <w:tc>
          <w:tcPr>
            <w:tcW w:type="dxa" w:w="2160"/>
          </w:tcPr>
          <w:p>
            <w:r>
              <w:t>Producción full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color w:val="2E75B6"/>
          <w:sz w:val="26"/>
        </w:rPr>
        <w:t>PRÓXIMOS PASOS</w:t>
      </w:r>
    </w:p>
    <w:p>
      <w:pPr>
        <w:pStyle w:val="ListNumber"/>
      </w:pPr>
      <w:r>
        <w:t>1. Revisar y seleccionar opción de implementación</w:t>
      </w:r>
    </w:p>
    <w:p>
      <w:pPr>
        <w:pStyle w:val="ListNumber"/>
      </w:pPr>
      <w:r>
        <w:t>2. Asignar recursos (desarrolladores, DBA)</w:t>
      </w:r>
    </w:p>
    <w:p>
      <w:pPr>
        <w:pStyle w:val="ListNumber"/>
      </w:pPr>
      <w:r>
        <w:t>3. Crear plan detallado de implementación</w:t>
      </w:r>
    </w:p>
    <w:p>
      <w:pPr>
        <w:pStyle w:val="ListNumber"/>
      </w:pPr>
      <w:r>
        <w:t>4. Preparar ambiente de prueba</w:t>
      </w:r>
    </w:p>
    <w:p>
      <w:pPr>
        <w:pStyle w:val="ListNumber"/>
      </w:pPr>
      <w:r>
        <w:t>5. Implementar solución seleccionada</w:t>
      </w:r>
    </w:p>
    <w:p>
      <w:pPr>
        <w:pStyle w:val="ListNumber"/>
      </w:pPr>
      <w:r>
        <w:t>6. Ejecutar pruebas con datos reales</w:t>
      </w:r>
    </w:p>
    <w:p>
      <w:pPr>
        <w:pStyle w:val="ListNumber"/>
      </w:pPr>
      <w:r>
        <w:t>7. Documentar cambios en wiki</w:t>
      </w:r>
    </w:p>
    <w:p>
      <w:pPr>
        <w:pStyle w:val="ListNumber"/>
      </w:pPr>
      <w:r>
        <w:t>8. Capacitar equipo de operaciones</w:t>
      </w:r>
    </w:p>
    <w:p/>
    <w:p>
      <w:r>
        <w:rPr>
          <w:b/>
          <w:color w:val="2E75B6"/>
          <w:sz w:val="26"/>
        </w:rPr>
        <w:t>MÉTRICAS CLAVE DE ÉXITO</w:t>
      </w:r>
    </w:p>
    <w:p>
      <w:pPr>
        <w:pStyle w:val="ListBullet"/>
      </w:pPr>
      <w:r>
        <w:t>100% de registros importados correctamente</w:t>
      </w:r>
    </w:p>
    <w:p>
      <w:pPr>
        <w:pStyle w:val="ListBullet"/>
      </w:pPr>
      <w:r>
        <w:t>0 errores de conversión de tipo</w:t>
      </w:r>
    </w:p>
    <w:p>
      <w:pPr>
        <w:pStyle w:val="ListBullet"/>
      </w:pPr>
      <w:r>
        <w:t>Auditoría completa de transformaciones</w:t>
      </w:r>
    </w:p>
    <w:p>
      <w:pPr>
        <w:pStyle w:val="ListBullet"/>
      </w:pPr>
      <w:r>
        <w:t>Tiempo de importación &lt; 5 minutos (10,000 registros)</w:t>
      </w:r>
    </w:p>
    <w:p>
      <w:pPr>
        <w:pStyle w:val="ListBullet"/>
      </w:pPr>
      <w:r>
        <w:t>Dashboard de errores accesible a operaciones</w:t>
      </w:r>
    </w:p>
    <w:p/>
    <w:p>
      <w:r>
        <w:rPr>
          <w:b/>
          <w:color w:val="2E75B6"/>
          <w:sz w:val="26"/>
        </w:rPr>
        <w:t>CONCLUSIÓN</w:t>
      </w:r>
    </w:p>
    <w:p>
      <w:pPr>
        <w:spacing w:after="240"/>
      </w:pPr>
      <w:r>
        <w:t>La solución OPCIÓN C (Híbrida) es la más recomendada porque proporciona máxima confiabilidad, auditoría en dos capas, y permite que la importación continúe incluso cuando hay errores de conversión. Esto mejora significativamente la robustez del sistema sin requeri la edición del archivo Excel original.</w:t>
      </w:r>
    </w:p>
    <w:p/>
    <w:p>
      <w:r>
        <w:rPr>
          <w:b/>
          <w:color w:val="2E75B6"/>
          <w:sz w:val="26"/>
        </w:rPr>
        <w:t>DOCUMENTACIÓN INCLUIDA</w:t>
      </w:r>
    </w:p>
    <w:p>
      <w:pPr>
        <w:pStyle w:val="ListBullet"/>
      </w:pPr>
      <w:r>
        <w:t>1. Analisis_Error_MineDax.docx - Descripción detallada del problema</w:t>
      </w:r>
    </w:p>
    <w:p>
      <w:pPr>
        <w:pStyle w:val="ListBullet"/>
      </w:pPr>
      <w:r>
        <w:t>2. Implementacion_Tecnica_MineDax.docx - Ejemplos SQL Server</w:t>
      </w:r>
    </w:p>
    <w:p>
      <w:pPr>
        <w:pStyle w:val="ListBullet"/>
      </w:pPr>
      <w:r>
        <w:t>3. Comparativa_Soluciones.docx - Análisis comparativo</w:t>
      </w:r>
    </w:p>
    <w:p>
      <w:pPr>
        <w:pStyle w:val="ListBullet"/>
      </w:pPr>
      <w:r>
        <w:t>4. Ejemplos_Codigo_MineDax.docx - Código C# para implementación</w:t>
      </w:r>
    </w:p>
    <w:p>
      <w:pPr>
        <w:pStyle w:val="ListBullet"/>
      </w:pPr>
      <w:r>
        <w:t>5. Resumen_Ejecutivo.docx - Este documento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