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Basic Requirements:</w:t>
      </w:r>
    </w:p>
    <w:p w:rsidR="00000000" w:rsidDel="00000000" w:rsidP="00000000" w:rsidRDefault="00000000" w:rsidRPr="00000000" w14:paraId="00000002">
      <w:pPr>
        <w:rPr/>
      </w:pPr>
      <w:r w:rsidDel="00000000" w:rsidR="00000000" w:rsidRPr="00000000">
        <w:rPr>
          <w:rtl w:val="0"/>
        </w:rPr>
        <w:t xml:space="preserve">This web page will host a shop of sorts, and allow the user to select items by searching for them or browsing the page(s).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Items include but are not limited to: Dell Precision 5470s, Dell Precision 7670s, Dell Docking stations (model to come), Dell/HP 34” curved monitors (model to come), Dell 24” flat monitors (model to come), and server drive space per department (will get specs later).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shop will be divided into four sections by program: ISR, Aerospace, G&amp;A, and OPS. No transactions will take place, but anything placed into the “cart” will be recorded by type and formatted into a PO, which is then emailed to one of a few managers, as well as the IT team.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is no current structure to build off of, so we don’t need to worry about integrating with anything current. However, we will be required to deploy to Azure Government, which I maintain and manage. Unfortunately, due to security reasons, some of these procedures will need to be done behind closed doors, but that is a workaround we will get to later.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Hope this all sounds good, excited to be working with you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