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4ca1a45f644e27fb5b2b67ccdb13ffa89d67458.png"/>
            <a:graphic>
              <a:graphicData uri="http://schemas.openxmlformats.org/drawingml/2006/picture">
                <pic:pic>
                  <pic:nvPicPr>
                    <pic:cNvPr id="1" name="image-e4ca1a45f644e27fb5b2b67ccdb13ffa89d6745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я_не_вижу_тут_этой_формулы_или_ты_1efec5"/>
      <w:r>
        <w:rPr>
          <w:rFonts w:eastAsia="georgia" w:cs="georgia" w:ascii="georgia" w:hAnsi="georgia"/>
          <w:b/>
          <w:color w:val="000000"/>
          <w:sz w:val="39"/>
        </w:rPr>
        <w:t xml:space="preserve">Я не вижу тут этой формулы, или ты сам ее вывел? Объясни каждую из используемых настроек.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Ты прав: в Programming Guide самой явной формулы вида </w:t>
      </w:r>
      <m:oMath>
        <m:r>
          <m:rPr>
            <m:sty m:val="p"/>
          </m:rPr>
          <w:rPr>
            <w:color w:val="000000"/>
          </w:rPr>
          <m:t>(</m:t>
        </m:r>
        <m:r>
          <m:rPr>
            <m:nor/>
          </m:rPr>
          <w:rPr>
            <w:color w:val="000000"/>
          </w:rPr>
          <m:t>byte</m:t>
        </m:r>
        <m:r>
          <m:rPr>
            <m:sty m:val="p"/>
          </m:rPr>
          <w:rPr>
            <w:color w:val="000000"/>
          </w:rPr>
          <m:t>−</m:t>
        </m:r>
        <m:r>
          <m:rPr>
            <m:sty m:val="i"/>
          </m:rPr>
          <w:rPr>
            <w:color w:val="000000"/>
          </w:rPr>
          <m:t>Y</m:t>
        </m:r>
        <m:r>
          <m:rPr>
            <m:sty m:val="i"/>
          </m:rPr>
          <w:rPr>
            <w:color w:val="000000"/>
          </w:rPr>
          <m:t>O</m:t>
        </m:r>
        <m:r>
          <m:rPr>
            <m:sty m:val="i"/>
          </m:rPr>
          <w:rPr>
            <w:color w:val="000000"/>
          </w:rPr>
          <m:t>R</m:t>
        </m:r>
        <m:r>
          <m:rPr>
            <m:sty m:val="p"/>
          </m:rPr>
          <w:rPr>
            <w:color w:val="000000"/>
          </w:rPr>
          <m:t>−</m:t>
        </m:r>
        <m:r>
          <m:rPr>
            <m:sty m:val="i"/>
          </m:rPr>
          <w:rPr>
            <w:color w:val="000000"/>
          </w:rPr>
          <m:t>Y</m:t>
        </m:r>
        <m:r>
          <m:rPr>
            <m:sty m:val="i"/>
          </m:rPr>
          <w:rPr>
            <w:color w:val="000000"/>
          </w:rPr>
          <m:t>R</m:t>
        </m:r>
        <m:r>
          <m:rPr>
            <m:sty m:val="i"/>
          </m:rPr>
          <w:rPr>
            <w:color w:val="000000"/>
          </w:rPr>
          <m:t>E</m:t>
        </m:r>
        <m:r>
          <m:rPr>
            <m:sty m:val="i"/>
          </m:rPr>
          <w:rPr>
            <w:color w:val="000000"/>
          </w:rPr>
          <m:t>F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⋅</m:t>
        </m:r>
        <m:r>
          <m:rPr>
            <m:sty m:val="i"/>
          </m:rPr>
          <w:rPr>
            <w:color w:val="000000"/>
          </w:rPr>
          <m:t>Y</m:t>
        </m:r>
        <m:r>
          <m:rPr>
            <m:sty m:val="i"/>
          </m:rPr>
          <w:rPr>
            <w:color w:val="000000"/>
          </w:rPr>
          <m:t>I</m:t>
        </m:r>
        <m:r>
          <m:rPr>
            <m:sty m:val="i"/>
          </m:rPr>
          <w:rPr>
            <w:color w:val="000000"/>
          </w:rPr>
          <m:t>N</m:t>
        </m:r>
        <m:r>
          <m:rPr>
            <m:sty m:val="i"/>
          </m:rPr>
          <w:rPr>
            <w:color w:val="000000"/>
          </w:rPr>
          <m:t>C</m:t>
        </m:r>
      </m:oMath>
      <w:r>
        <w:rPr>
          <w:rFonts w:eastAsia="georgia" w:cs="georgia" w:ascii="georgia" w:hAnsi="georgia"/>
          <w:color w:val="000000"/>
        </w:rPr>
        <w:t xml:space="preserve"> текстом нет, её обычно дают в приложениях/FAQ Rigol и на техподдержке, а в гайде описаны только параметры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YINCrement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YORigin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YREFerence</w:t>
      </w:r>
      <w:r>
        <w:rPr>
          <w:rFonts w:eastAsia="georgia" w:cs="georgia" w:ascii="georgia" w:hAnsi="georgia"/>
          <w:color w:val="000000"/>
        </w:rPr>
        <w:t xml:space="preserve"> и отсылка к ним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:WAVeform:PREamble?</w:t>
      </w:r>
      <w:r>
        <w:rPr>
          <w:rFonts w:eastAsia="georgia" w:cs="georgia" w:ascii="georgia" w:hAnsi="georgia"/>
          <w:color w:val="000000"/>
        </w:rPr>
        <w:t xml:space="preserve">. Формулу восстановления напряжения Rigol приводит, например, в своих статьях поддержки для DS1000Z/MSO5000, где прямо пишут, что нужно использовать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YINCrement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YORigin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YREFerence</w:t>
      </w:r>
      <w:r>
        <w:rPr>
          <w:rFonts w:eastAsia="georgia" w:cs="georgia" w:ascii="georgia" w:hAnsi="georgia"/>
          <w:color w:val="000000"/>
        </w:rPr>
        <w:t xml:space="preserve"> из преамбулы для перевода считанных байт в вольты.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по шагам, что означает каждый параметр.</w:t>
      </w:r>
    </w:p>
    <w:p>
      <w:pPr>
        <w:spacing w:line="360" w:before="315" w:after="105" w:lineRule="auto"/>
        <w:ind w:left="-30"/>
        <w:jc w:val="left"/>
      </w:pPr>
      <w:bookmarkStart w:id="4" w:name="где_это_описано_у_rigol"/>
      <w:r>
        <w:rPr>
          <w:rFonts w:eastAsia="georgia" w:cs="georgia" w:ascii="georgia" w:hAnsi="georgia"/>
          <w:b/>
          <w:color w:val="000000"/>
          <w:sz w:val="24"/>
        </w:rPr>
        <w:t xml:space="preserve">Где это описано у Rigol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Programming Guide MSO1000Z/DS1000Z: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Команды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:WAVeform:YINCrement?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:WAVeform:YORigin?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:WAVeform:YREFerence?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:WAVeform:PREamble?</w:t>
      </w:r>
      <w:r>
        <w:rPr>
          <w:rFonts w:eastAsia="georgia" w:cs="georgia" w:ascii="georgia" w:hAnsi="georgia"/>
          <w:color w:val="000000"/>
          <w:sz w:val="21"/>
        </w:rPr>
        <w:t xml:space="preserve"> перечислены и кратко описаны в разделе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 Commands</w:t>
      </w:r>
      <w:r>
        <w:rPr>
          <w:rFonts w:eastAsia="georgia" w:cs="georgia" w:ascii="georgia" w:hAnsi="georgia"/>
          <w:color w:val="000000"/>
          <w:sz w:val="21"/>
        </w:rPr>
        <w:t xml:space="preserve"> (пункты 2‑216…2‑226).</w:t>
      </w:r>
      <w:bookmarkStart w:id="5" w:name="fnref2_1"/>
      <w:bookmarkEnd w:id="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Там сказано, что они возвращают параметры вертикальной оси и что все они собраны в преамбуле, но явного расчёта напряжения нет.</w:t>
      </w:r>
      <w:bookmarkStart w:id="6" w:name="fnref2_2"/>
      <w:bookmarkEnd w:id="6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статье техподдержки Rigol “Deep memory binary data collection and conversion”: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Прямо сказано, что для перевода байт в напряжение нужно использовать `&lt;yincrement&gt;`, `&lt;yorigin&gt;` и `&lt;yreference&gt;` из преамбулы, когда осциллограф в STOP.[^3]</w:t>
        <w:br/>
        <w:t xml:space="preserve"/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другой статье “MSO5000/DS1000Z getting data from Analog or Digital Channel” приводят конкретный пример вычисления напряжения по этим параметрам.</w:t>
      </w:r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То есть формула используется в официальных материалах Rigol, но собрана из описания параметров + готовых примеров в базе знаний, а не написана одной строчкой в Programming Guide.</w:t>
      </w:r>
      <w:bookmarkStart w:id="8" w:name="fnref3_1"/>
      <w:bookmarkEnd w:id="8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9" w:name="fnref1_2"/>
      <w:bookmarkEnd w:id="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0" w:name="fnref2_3"/>
      <w:bookmarkEnd w:id="1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1" w:name="смысл_каждой_настройки"/>
      <w:r>
        <w:rPr>
          <w:rFonts w:eastAsia="georgia" w:cs="georgia" w:ascii="georgia" w:hAnsi="georgia"/>
          <w:b/>
          <w:color w:val="000000"/>
          <w:sz w:val="24"/>
        </w:rPr>
        <w:t xml:space="preserve">Смысл каждой настройки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Рассматриваем режим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:WAVeform:FORMat BYTE</w:t>
      </w:r>
      <w:r>
        <w:rPr>
          <w:rFonts w:eastAsia="georgia" w:cs="georgia" w:ascii="georgia" w:hAnsi="georgia"/>
          <w:color w:val="000000"/>
        </w:rPr>
        <w:t xml:space="preserve"> (данные как 8‑битные значения).</w:t>
      </w:r>
      <w:bookmarkStart w:id="12" w:name="fnref1_3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3" w:name="fnref3_2"/>
      <w:bookmarkEnd w:id="1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:WAVeform:DATA?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Возвращает последовательность исходных значений отсчётов (для BYTE — 0…255), это «сырые» точки по вертикали.</w:t>
      </w:r>
      <w:bookmarkStart w:id="14" w:name="fnref3_3"/>
      <w:bookmarkEnd w:id="1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5" w:name="fnref1_4"/>
      <w:bookmarkEnd w:id="1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:WAVeform:YINCrement?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Возвращает масштаб по вертикали, т.е. сколько </w:t>
      </w:r>
      <w:r>
        <w:rPr>
          <w:rFonts w:eastAsia="georgia" w:cs="georgia" w:ascii="georgia" w:hAnsi="georgia"/>
          <w:b/>
          <w:color w:val="000000"/>
          <w:sz w:val="21"/>
        </w:rPr>
        <w:t xml:space="preserve">вольт</w:t>
      </w:r>
      <w:r>
        <w:rPr>
          <w:rFonts w:eastAsia="georgia" w:cs="georgia" w:ascii="georgia" w:hAnsi="georgia"/>
          <w:color w:val="000000"/>
          <w:sz w:val="21"/>
        </w:rPr>
        <w:t xml:space="preserve"> соответствует одному «делению» в кодах данных (одной единице после вычета смещений).</w:t>
      </w:r>
      <w:bookmarkStart w:id="16" w:name="fnref1_5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7" w:name="fnref3_4"/>
      <w:bookmarkEnd w:id="1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Размерность: В/деление (фактически В на один шаг счётчика АЦП после нормировки).</w:t>
      </w:r>
    </w:p>
    <w:p>
      <w:pPr>
        <w:numPr>
          <w:ilvl w:val="0"/>
          <w:numId w:val="2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:WAVeform:YORigin?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Возвращает вертикальное смещение в единицах того же «внутреннего» масштаба, в котором задаются коды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</w:t>
      </w:r>
      <w:r>
        <w:rPr>
          <w:rFonts w:eastAsia="georgia" w:cs="georgia" w:ascii="georgia" w:hAnsi="georgia"/>
          <w:color w:val="000000"/>
          <w:sz w:val="21"/>
        </w:rPr>
        <w:t xml:space="preserve">), связанное с выбранным каналом, вертикальным положением и масштабом.</w:t>
      </w:r>
      <w:bookmarkStart w:id="18" w:name="fnref3_5"/>
      <w:bookmarkEnd w:id="18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9" w:name="fnref1_6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Это поправка, учитывающая текущий offset канала и положение нулевой линии.</w:t>
      </w:r>
    </w:p>
    <w:p>
      <w:pPr>
        <w:numPr>
          <w:ilvl w:val="0"/>
          <w:numId w:val="2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:WAVeform:YREFerence?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Возвращает эталонный уровень, относительно которого отсчитываются значения, чаще всего это базовый «reference level» (обычно 0 или 128 для BYTE, но не стоит на это полагаться, нужно реально читать).</w:t>
      </w:r>
      <w:bookmarkStart w:id="20" w:name="fnref1_7"/>
      <w:bookmarkEnd w:id="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1" w:name="fnref3_6"/>
      <w:bookmarkEnd w:id="2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Используется вместе с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YORigin</w:t>
      </w:r>
      <w:r>
        <w:rPr>
          <w:rFonts w:eastAsia="georgia" w:cs="georgia" w:ascii="georgia" w:hAnsi="georgia"/>
          <w:color w:val="000000"/>
          <w:sz w:val="21"/>
        </w:rPr>
        <w:t xml:space="preserve"> для корректировки кода точки к «нулю» шкалы.</w:t>
      </w:r>
    </w:p>
    <w:p>
      <w:pPr>
        <w:numPr>
          <w:ilvl w:val="0"/>
          <w:numId w:val="2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:WAVeform:PREamble?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Возвращает все параметры одним строковым ответом: формат данных, тип, количество точек,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XINCrement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XORigin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XREFerence</w:t>
      </w:r>
      <w:r>
        <w:rPr>
          <w:rFonts w:eastAsia="georgia" w:cs="georgia" w:ascii="georgia" w:hAnsi="georgia"/>
          <w:color w:val="000000"/>
          <w:sz w:val="21"/>
        </w:rPr>
        <w:t xml:space="preserve">, затем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YINCrement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YORigin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YREFerence</w:t>
      </w:r>
      <w:r>
        <w:rPr>
          <w:rFonts w:eastAsia="georgia" w:cs="georgia" w:ascii="georgia" w:hAnsi="georgia"/>
          <w:color w:val="000000"/>
          <w:sz w:val="21"/>
        </w:rPr>
        <w:t xml:space="preserve"> и др.</w:t>
      </w:r>
      <w:bookmarkStart w:id="22" w:name="fnref2_4"/>
      <w:bookmarkEnd w:id="2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3" w:name="fnref3_7"/>
      <w:bookmarkEnd w:id="2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Именно отсюда обычно парсят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YINCrement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YORigin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YREFerence</w:t>
      </w:r>
      <w:r>
        <w:rPr>
          <w:rFonts w:eastAsia="georgia" w:cs="georgia" w:ascii="georgia" w:hAnsi="georgia"/>
          <w:color w:val="000000"/>
          <w:sz w:val="21"/>
        </w:rPr>
        <w:t xml:space="preserve"> в программах обработки волн.</w:t>
      </w:r>
    </w:p>
    <w:p>
      <w:pPr>
        <w:spacing w:line="360" w:before="315" w:after="105" w:lineRule="auto"/>
        <w:ind w:left="-30"/>
        <w:jc w:val="left"/>
      </w:pPr>
      <w:bookmarkStart w:id="24" w:name="как_из_них_получается_формула"/>
      <w:r>
        <w:rPr>
          <w:rFonts w:eastAsia="georgia" w:cs="georgia" w:ascii="georgia" w:hAnsi="georgia"/>
          <w:b/>
          <w:color w:val="000000"/>
          <w:sz w:val="24"/>
        </w:rPr>
        <w:t xml:space="preserve">Как из них получается формула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Rigol в статьях по конвертации формулирует общий принцип так (пересказываю):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каждой точки берём её числовое значение 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:WAVeform:DATA?</w:t>
      </w:r>
      <w:r>
        <w:rPr>
          <w:rFonts w:eastAsia="georgia" w:cs="georgia" w:ascii="georgia" w:hAnsi="georgia"/>
          <w:color w:val="000000"/>
          <w:sz w:val="21"/>
        </w:rPr>
        <w:t xml:space="preserve"> (назовём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code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Нормируем его, вычитая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YORigin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YREFerence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Умножаем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YINCrement</w:t>
      </w:r>
      <w:r>
        <w:rPr>
          <w:rFonts w:eastAsia="georgia" w:cs="georgia" w:ascii="georgia" w:hAnsi="georgia"/>
          <w:color w:val="000000"/>
          <w:sz w:val="21"/>
        </w:rPr>
        <w:t xml:space="preserve"> и получаем напряжение.</w:t>
      </w:r>
      <w:bookmarkStart w:id="25" w:name="fnref3_8"/>
      <w:bookmarkEnd w:id="2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6" w:name="fnref1_8"/>
      <w:bookmarkEnd w:id="2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компактном виде (с учётом принятоj у Rigol договорённости о знаках для DS/MSO серии) это записывается как: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V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i"/>
            </m:rPr>
            <w:rPr>
              <w:color w:val="000000"/>
            </w:rPr>
            <m:t>o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i"/>
            </m:rPr>
            <w:rPr>
              <w:color w:val="000000"/>
            </w:rPr>
            <m:t>e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Y</m:t>
          </m:r>
          <m:r>
            <m:rPr>
              <m:sty m:val="i"/>
            </m:rPr>
            <w:rPr>
              <w:color w:val="000000"/>
            </w:rPr>
            <m:t>O</m:t>
          </m:r>
          <m:r>
            <m:rPr>
              <m:sty m:val="i"/>
            </m:rPr>
            <w:rPr>
              <w:color w:val="000000"/>
            </w:rPr>
            <m:t>R</m:t>
          </m:r>
          <m:r>
            <m:rPr>
              <m:sty m:val="i"/>
            </m:rPr>
            <w:rPr>
              <w:color w:val="000000"/>
            </w:rPr>
            <m:t>i</m:t>
          </m:r>
          <m:r>
            <m:rPr>
              <m:sty m:val="i"/>
            </m:rPr>
            <w:rPr>
              <w:color w:val="000000"/>
            </w:rPr>
            <m:t>g</m:t>
          </m:r>
          <m:r>
            <m:rPr>
              <m:sty m:val="i"/>
            </m:rPr>
            <w:rPr>
              <w:color w:val="000000"/>
            </w:rPr>
            <m:t>i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Y</m:t>
          </m:r>
          <m:r>
            <m:rPr>
              <m:sty m:val="i"/>
            </m:rPr>
            <w:rPr>
              <w:color w:val="000000"/>
            </w:rPr>
            <m:t>R</m:t>
          </m:r>
          <m:r>
            <m:rPr>
              <m:sty m:val="i"/>
            </m:rPr>
            <w:rPr>
              <w:color w:val="000000"/>
            </w:rPr>
            <m:t>E</m:t>
          </m:r>
          <m:r>
            <m:rPr>
              <m:sty m:val="i"/>
            </m:rPr>
            <w:rPr>
              <w:color w:val="000000"/>
            </w:rPr>
            <m:t>F</m:t>
          </m:r>
          <m:r>
            <m:rPr>
              <m:sty m:val="i"/>
            </m:rPr>
            <w:rPr>
              <w:color w:val="000000"/>
            </w:rPr>
            <m:t>e</m:t>
          </m:r>
          <m:r>
            <m:rPr>
              <m:sty m:val="i"/>
            </m:rPr>
            <w:rPr>
              <w:color w:val="000000"/>
            </w:rPr>
            <m:t>r</m:t>
          </m:r>
          <m:r>
            <m:rPr>
              <m:sty m:val="i"/>
            </m:rPr>
            <w:rPr>
              <w:color w:val="000000"/>
            </w:rPr>
            <m:t>e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i"/>
            </m:rPr>
            <w:rPr>
              <w:color w:val="000000"/>
            </w:rPr>
            <m:t>e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⋅</m:t>
          </m:r>
          <m:r>
            <m:rPr>
              <m:sty m:val="i"/>
            </m:rPr>
            <w:rPr>
              <w:color w:val="000000"/>
            </w:rPr>
            <m:t>Y</m:t>
          </m:r>
          <m:r>
            <m:rPr>
              <m:sty m:val="i"/>
            </m:rPr>
            <w:rPr>
              <w:color w:val="000000"/>
            </w:rPr>
            <m:t>I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i"/>
            </m:rPr>
            <w:rPr>
              <w:color w:val="000000"/>
            </w:rPr>
            <m:t>C</m:t>
          </m:r>
          <m:r>
            <m:rPr>
              <m:sty m:val="i"/>
            </m:rPr>
            <w:rPr>
              <w:color w:val="000000"/>
            </w:rPr>
            <m:t>r</m:t>
          </m:r>
          <m:r>
            <m:rPr>
              <m:sty m:val="i"/>
            </m:rPr>
            <w:rPr>
              <w:color w:val="000000"/>
            </w:rPr>
            <m:t>e</m:t>
          </m:r>
          <m:r>
            <m:rPr>
              <m:sty m:val="i"/>
            </m:rPr>
            <w:rPr>
              <w:color w:val="000000"/>
            </w:rPr>
            <m:t>m</m:t>
          </m:r>
          <m:r>
            <m:rPr>
              <m:sty m:val="i"/>
            </m:rPr>
            <w:rPr>
              <w:color w:val="000000"/>
            </w:rPr>
            <m:t>e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i"/>
            </m:rPr>
            <w:rPr>
              <w:color w:val="000000"/>
            </w:rPr>
            <m:t>t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Эту формулу не придумывают «с нуля» — она соответствует тому описанию, которое Rigol даёт словами и с примерами для DS1000Z/MSO5000 в базе знаний.</w:t>
      </w:r>
      <w:bookmarkStart w:id="27" w:name="fnref1_9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8" w:name="fnref3_9"/>
      <w:bookmarkEnd w:id="28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нужно, могу: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показать пример кода (C или Python) с разбором преамбулы и расчётом </w:t>
      </w:r>
      <m:oMath>
        <m:r>
          <m:rPr>
            <m:sty m:val="i"/>
          </m:rPr>
          <w:rPr>
            <w:color w:val="000000"/>
            <w:sz w:val="21"/>
          </w:rPr>
          <m:t>V</m:t>
        </m:r>
      </m:oMath>
      <w:r>
        <w:rPr>
          <w:rFonts w:eastAsia="georgia" w:cs="georgia" w:ascii="georgia" w:hAnsi="georgia"/>
          <w:color w:val="000000"/>
          <w:sz w:val="21"/>
        </w:rPr>
        <w:t xml:space="preserve"> для DS1054Z/DS1000Z;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отдельно разобрать связку с вертикальным масштабом (V/div) и настройки канала (`:CHANnel&lt;n&gt;:SCALe`, `:CHANnel&lt;n&gt;:OFFSet`) через эти же параметры.</w:t>
        <w:br/>
        <w:t xml:space="preserve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9" w:name="fn1"/>
    <w:bookmarkEnd w:id="29"/>
    <w:p>
      <w:pPr>
        <w:numPr>
          <w:ilvl w:val="0"/>
          <w:numId w:val="6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https://rigol.my.site.com/support/s/article/MSO5000-DS1000Z-getting-data-from-Analog-or-Digital-Channel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" w:name="fn2"/>
    <w:bookmarkEnd w:id="30"/>
    <w:p>
      <w:pPr>
        <w:numPr>
          <w:ilvl w:val="0"/>
          <w:numId w:val="6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https://www.batronix.com/pdf/Rigol/ProgrammingGuide/MSO1000Z_DS1000Z_ProgrammingGuide_EN.pdf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" w:name="fn3"/>
    <w:bookmarkEnd w:id="31"/>
    <w:p>
      <w:pPr>
        <w:numPr>
          <w:ilvl w:val="0"/>
          <w:numId w:val="6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https://rigol.my.site.com/support/s/article/deep-memory-binary-data-collection-and-conversion1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" w:name="fn4"/>
    <w:bookmarkEnd w:id="32"/>
    <w:p>
      <w:pPr>
        <w:numPr>
          <w:ilvl w:val="0"/>
          <w:numId w:val="6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https://www.youtube.com/watch?v=wPjX7Ahvs9M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" w:name="fn5"/>
    <w:bookmarkEnd w:id="33"/>
    <w:p>
      <w:pPr>
        <w:numPr>
          <w:ilvl w:val="0"/>
          <w:numId w:val="6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https://www.batronix.com/pdf/Rigol/UserGuide/DS1000Z_UserGuide_EN.pdf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" w:name="fn6"/>
    <w:bookmarkEnd w:id="34"/>
    <w:p>
      <w:pPr>
        <w:numPr>
          <w:ilvl w:val="0"/>
          <w:numId w:val="6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https://assets.testequity.com/te1/Documents/pdf/rigol/Rigol_DS1000Z_Digital-Oscilloscope_Manual_1024.pdf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7"/>
    <w:bookmarkEnd w:id="35"/>
    <w:p>
      <w:pPr>
        <w:numPr>
          <w:ilvl w:val="0"/>
          <w:numId w:val="6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https://asset.conrad.com/media10/add/160267/c1/-/en/001230760ML01/brugsanvisning-1230760-rigol-mso1074z-digitalt-oscilloskop-70-mhz-20-kanals-500-msas-3-mpts-8-bit-digital-hukommelse-dso-mixed-signal-mso.pdf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" w:name="fn8"/>
    <w:bookmarkEnd w:id="36"/>
    <w:p>
      <w:pPr>
        <w:numPr>
          <w:ilvl w:val="0"/>
          <w:numId w:val="6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https://cse.sc.edu/~adowney2/resources/data_sheets/Rigol_DS1054z_users_guide.pdf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" w:name="fn9"/>
    <w:bookmarkEnd w:id="37"/>
    <w:p>
      <w:pPr>
        <w:numPr>
          <w:ilvl w:val="0"/>
          <w:numId w:val="6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https://ric.jj.ac.kr/wp-content/uploads/2021/08/DS1000Z-E_QuickGuide_EN.pdf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" w:name="fn10"/>
    <w:bookmarkEnd w:id="38"/>
    <w:p>
      <w:pPr>
        <w:numPr>
          <w:ilvl w:val="0"/>
          <w:numId w:val="6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http://pracownie1.fuw.edu.pl/przyrzady/Oscyloskop_Rigol_DS1000Z-Quick-Guide.pdf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4ca1a45f644e27fb5b2b67ccdb13ffa89d67458.png" TargetMode="Internal"/><Relationship Id="rId6" Type="http://schemas.openxmlformats.org/officeDocument/2006/relationships/hyperlink" Target="https://rigol.my.site.com/support/s/article/MSO5000-DS1000Z-getting-data-from-Analog-or-Digital-Channel" TargetMode="External"/><Relationship Id="rId7" Type="http://schemas.openxmlformats.org/officeDocument/2006/relationships/hyperlink" Target="https://www.batronix.com/pdf/Rigol/ProgrammingGuide/MSO1000Z_DS1000Z_ProgrammingGuide_EN.pdf" TargetMode="External"/><Relationship Id="rId8" Type="http://schemas.openxmlformats.org/officeDocument/2006/relationships/hyperlink" Target="https://rigol.my.site.com/support/s/article/deep-memory-binary-data-collection-and-conversion1" TargetMode="External"/><Relationship Id="rId9" Type="http://schemas.openxmlformats.org/officeDocument/2006/relationships/hyperlink" Target="https://www.youtube.com/watch?v=wPjX7Ahvs9M" TargetMode="External"/><Relationship Id="rId10" Type="http://schemas.openxmlformats.org/officeDocument/2006/relationships/hyperlink" Target="https://www.batronix.com/pdf/Rigol/UserGuide/DS1000Z_UserGuide_EN.pdf" TargetMode="External"/><Relationship Id="rId11" Type="http://schemas.openxmlformats.org/officeDocument/2006/relationships/hyperlink" Target="https://assets.testequity.com/te1/Documents/pdf/rigol/Rigol_DS1000Z_Digital-Oscilloscope_Manual_1024.pdf" TargetMode="External"/><Relationship Id="rId12" Type="http://schemas.openxmlformats.org/officeDocument/2006/relationships/hyperlink" Target="https://asset.conrad.com/media10/add/160267/c1/-/en/001230760ML01/brugsanvisning-1230760-rigol-mso1074z-digitalt-oscilloskop-70-mhz-20-kanals-500-msas-3-mpts-8-bit-digital-hukommelse-dso-mixed-signal-mso.pdf" TargetMode="External"/><Relationship Id="rId13" Type="http://schemas.openxmlformats.org/officeDocument/2006/relationships/hyperlink" Target="https://cse.sc.edu/~adowney2/resources/data_sheets/Rigol_DS1054z_users_guide.pdf" TargetMode="External"/><Relationship Id="rId14" Type="http://schemas.openxmlformats.org/officeDocument/2006/relationships/hyperlink" Target="https://ric.jj.ac.kr/wp-content/uploads/2021/08/DS1000Z-E_QuickGuide_EN.pdf" TargetMode="External"/><Relationship Id="rId15" Type="http://schemas.openxmlformats.org/officeDocument/2006/relationships/hyperlink" Target="http://pracownie1.fuw.edu.pl/przyrzady/Oscyloskop_Rigol_DS1000Z-Quick-Guide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2026-04-20T14:57:30.931Z</dcterms:created>
  <dcterms:modified xsi:type="dcterms:W3CDTF">2026-04-20T14:57:30.931Z</dcterms:modified>
</cp:coreProperties>
</file>