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Supervision des serveurs de calcul CAO</w:t>
      </w:r>
    </w:p>
    <w:p>
      <w:pPr>
        <w:pBdr>
          <w:bottom w:val="single" w:color="1F3864" w:sz="8" w:space="4"/>
        </w:pBdr>
        <w:spacing w:after="360"/>
      </w:pPr>
      <w:r>
        <w:rPr>
          <w:sz w:val="28"/>
          <w:szCs w:val="28"/>
        </w:rPr>
        <w:t xml:space="preserve">Documentation managers</w:t>
      </w:r>
    </w:p>
    <w:p>
      <w:pPr>
        <w:pStyle w:val="Heading1"/>
      </w:pPr>
      <w:r>
        <w:t xml:space="preserve">I. Avant de commencer</w:t>
      </w:r>
    </w:p>
    <w:p>
      <w:pPr>
        <w:spacing w:after="120"/>
      </w:pPr>
      <w:r>
        <w:t xml:space="preserve">Cette documentation complète la </w:t>
      </w:r>
      <w:r>
        <w:rPr>
          <w:b/>
          <w:bCs/>
        </w:rPr>
        <w:t xml:space="preserve">Documentation utilisateurs</w:t>
      </w:r>
      <w:r>
        <w:t xml:space="preserve">. Lisez d'abord dans celle-ci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I. Présentation de l'outil</w:t>
      </w:r>
      <w:r>
        <w:t xml:space="preserve"> : à quoi sert la supervision et comment y accéder.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II. Prise en main de l'interface</w:t>
      </w:r>
      <w:r>
        <w:t xml:space="preserve"> : période, actualisation, lecture des graphiques, icône ⓘ, tri et filtre des tableaux.</w:t>
      </w:r>
    </w:p>
    <w:p>
      <w:pPr>
        <w:spacing w:after="120" w:before="120"/>
      </w:pPr>
      <w:r>
        <w:t xml:space="preserve">Les dashboards Global, Détail serveur et Vue FPGA (partie III de la Documentation utilisateurs) vous sont aussi accessibles.</w:t>
      </w:r>
    </w:p>
    <w:p>
      <w:pPr>
        <w:spacing w:after="80" w:before="160"/>
      </w:pPr>
      <w:r>
        <w:rPr>
          <w:b/>
          <w:bCs/>
        </w:rPr>
        <w:t xml:space="preserve">Dashboards décrits dans ce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Supervision FlexLM - Vue globale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des licences par éditeur, serveurs de licences, dates d'expiration.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 vendeur FlexLM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d'un éditeur : licences, utilisateurs connectés, historique.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Supervision - Alerts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Alertes en cours et historique (serveur arrêté, CPU ou RAM au-dessus de 80 %).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CAO Compute - Trends &amp; Capacity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Tendances sur une période : utilisation des serveurs, pools, utilisateurs, disques, licences.</w:t>
            </w:r>
          </w:p>
        </w:tc>
      </w:tr>
    </w:tbl>
    <w:p>
      <w:pPr>
        <w:spacing w:after="120" w:before="120"/>
      </w:pPr>
      <w:r>
        <w:t xml:space="preserve">Ces dashboards sont dans le menu </w:t>
      </w:r>
      <w:r>
        <w:rPr>
          <w:b/>
          <w:bCs/>
        </w:rPr>
        <w:t xml:space="preserve">Dashboards</w:t>
      </w:r>
      <w:r>
        <w:t xml:space="preserve">. Tapez leur nom dans la barre de recherche en haut de l'écran pour les trouver rapidement.</w:t>
      </w:r>
    </w:p>
    <w:p>
      <w:pPr>
        <w:pStyle w:val="Heading1"/>
        <w:pageBreakBefore/>
      </w:pPr>
      <w:r>
        <w:t xml:space="preserve">II. Navigation des dashboards</w:t>
      </w:r>
    </w:p>
    <w:p>
      <w:pPr>
        <w:pStyle w:val="Heading2"/>
      </w:pPr>
      <w:r>
        <w:t xml:space="preserve">a) Licences FlexLM – Vue globale</w:t>
      </w:r>
    </w:p>
    <w:p>
      <w:pPr>
        <w:spacing w:after="120"/>
      </w:pPr>
      <w:r>
        <w:t xml:space="preserve">Dashboard </w:t>
      </w:r>
      <w:r>
        <w:rPr>
          <w:b/>
          <w:bCs/>
        </w:rPr>
        <w:t xml:space="preserve">Supervision FlexLM - Vue globale</w:t>
      </w:r>
      <w:r>
        <w:t xml:space="preserve">. Il montre l'état actuel des licences de tous les éditeurs. Mise à jour automatique toutes les 60 secondes.</w:t>
      </w:r>
    </w:p>
    <w:p>
      <w:pPr>
        <w:spacing w:after="160" w:before="80"/>
      </w:pPr>
      <w:r>
        <w:drawing>
          <wp:inline distT="0" distB="0" distL="0" distR="0">
            <wp:extent cx="6096000" cy="3686175"/>
            <wp:effectExtent t="0" r="0" b="0" l="0"/>
            <wp:docPr id="1" name="fg_full.png" descr="fg_full.png" title="fg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par vendeur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ligne par éditeur : licences possédées, licences utilisées, état du démon de licences (voir 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Etat des serveurs de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FlexLM qui distribuent les licences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Etat des daemons vendeurs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de licences propre à chaque éditeur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Expiration des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restant avant l'expiration de chaque licence (voir 3).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Sans effet sur ce dashboard : tous les tableaux affichent la situation actuelle.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Mise à jour immédiate (automatique toutes les 60 s).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Licences par vendeur</w:t>
      </w:r>
    </w:p>
    <w:p>
      <w:pPr>
        <w:spacing w:after="160" w:before="80"/>
      </w:pPr>
      <w:r>
        <w:drawing>
          <wp:inline distT="0" distB="0" distL="0" distR="0">
            <wp:extent cx="6096000" cy="733425"/>
            <wp:effectExtent t="0" r="0" b="0" l="0"/>
            <wp:docPr id="1" name="fg_vendeur.png" descr="fg_vendeur.png" title="fg_vend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l'éditeur. </w:t>
            </w:r>
            <w:r>
              <w:rPr>
                <w:b/>
                <w:bCs/>
                <w:sz w:val="20"/>
                <w:szCs w:val="20"/>
              </w:rPr>
              <w:t xml:space="preserve">Cliquez dessus</w:t>
            </w:r>
            <w:r>
              <w:rPr>
                <w:sz w:val="20"/>
                <w:szCs w:val="20"/>
              </w:rPr>
              <w:t xml:space="preserve"> pour ouvrir son détail (voir II.b).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du logiciel FlexLM de l'éditeur. Information technique.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Etat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</w:t>
            </w:r>
            <w:r>
              <w:rPr>
                <w:sz w:val="20"/>
                <w:szCs w:val="20"/>
              </w:rPr>
              <w:t xml:space="preserve"> : le démon de l'éditeur fonctionne. </w:t>
            </w:r>
            <w:r>
              <w:rPr>
                <w:b/>
                <w:bCs/>
                <w:sz w:val="20"/>
                <w:szCs w:val="20"/>
              </w:rPr>
              <w:t xml:space="preserve">DOWN</w:t>
            </w:r>
            <w:r>
              <w:rPr>
                <w:sz w:val="20"/>
                <w:szCs w:val="20"/>
              </w:rPr>
              <w:t xml:space="preserve"> : plus personne ne peut prendre de licence de cet éditeur. Prévenir l'équipe système.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Utilisees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prises en ce moment, toutes licences de l'éditeur confondues.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possédées, toutes licences de l'éditeur confondues.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technique du démon de licences.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Tableaux serveurs et démons de licences</w:t>
      </w:r>
    </w:p>
    <w:p>
      <w:pPr>
        <w:spacing w:after="160" w:before="80"/>
      </w:pPr>
      <w:r>
        <w:drawing>
          <wp:inline distT="0" distB="0" distL="0" distR="0">
            <wp:extent cx="6096000" cy="847725"/>
            <wp:effectExtent t="0" r="0" b="0" l="0"/>
            <wp:docPr id="1" name="fg_serveurs.png" descr="fg_serveurs.png" title="fg_serve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 concerné.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fqdn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du serveur de licences.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réseau utilisé par le serveur de licences.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 : serveur principal pour cet 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</w:t>
            </w:r>
            <w:r>
              <w:rPr>
                <w:sz w:val="20"/>
                <w:szCs w:val="20"/>
              </w:rPr>
              <w:t xml:space="preserve"> : serveur joignable. </w:t>
            </w:r>
            <w:r>
              <w:rPr>
                <w:b/>
                <w:bCs/>
                <w:sz w:val="20"/>
                <w:szCs w:val="20"/>
              </w:rPr>
              <w:t xml:space="preserve">DOWN</w:t>
            </w:r>
            <w:r>
              <w:rPr>
                <w:sz w:val="20"/>
                <w:szCs w:val="20"/>
              </w:rPr>
              <w:t xml:space="preserve"> : serveur injoignable, les licences de l'éditeur ne sont plus distribuées.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de FlexLM sur le serveur.</w:t>
            </w:r>
          </w:p>
        </w:tc>
      </w:tr>
    </w:tbl>
    <w:p>
      <w:pPr>
        <w:spacing w:after="120" w:before="120"/>
      </w:pPr>
      <w:r>
        <w:t xml:space="preserve">Le tableau de droite (démons) reprend app, version et Statut, avec en plus </w:t>
      </w:r>
      <w:r>
        <w:rPr>
          <w:b/>
          <w:bCs/>
        </w:rPr>
        <w:t xml:space="preserve">vendor</w:t>
      </w:r>
      <w:r>
        <w:t xml:space="preserve"> (nom du démon). Un serveur peut être UP alors que le démon d'un éditeur est DOWN : seul cet éditeur est touché.</w:t>
      </w:r>
    </w:p>
    <w:p>
      <w:pPr>
        <w:pStyle w:val="Heading3"/>
      </w:pPr>
      <w:r>
        <w:t xml:space="preserve">3) Tableau Expiration des licences</w:t>
      </w:r>
    </w:p>
    <w:p>
      <w:pPr>
        <w:spacing w:after="160" w:before="80"/>
      </w:pPr>
      <w:r>
        <w:drawing>
          <wp:inline distT="0" distB="0" distL="0" distR="0">
            <wp:extent cx="6096000" cy="1200150"/>
            <wp:effectExtent t="0" r="0" b="0" l="0"/>
            <wp:docPr id="1" name="fg_expiration.png" descr="fg_expiration.png" title="fg_expi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 (produit ou option).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 de licences de l'éditeur.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Jours restants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restant avant l'expiration. </w:t>
            </w:r>
            <w:r>
              <w:rPr>
                <w:b/>
                <w:bCs/>
                <w:sz w:val="20"/>
                <w:szCs w:val="20"/>
              </w:rPr>
              <w:t xml:space="preserve">Rouge</w:t>
            </w:r>
            <w:r>
              <w:rPr>
                <w:sz w:val="20"/>
                <w:szCs w:val="20"/>
              </w:rPr>
              <w:t xml:space="preserve"> &lt; 30 jours, </w:t>
            </w:r>
            <w:r>
              <w:rPr>
                <w:b/>
                <w:bCs/>
                <w:sz w:val="20"/>
                <w:szCs w:val="20"/>
              </w:rPr>
              <w:t xml:space="preserve">jaune</w:t>
            </w:r>
            <w:r>
              <w:rPr>
                <w:sz w:val="20"/>
                <w:szCs w:val="20"/>
              </w:rPr>
              <w:t xml:space="preserve"> &lt; 90 jours, </w:t>
            </w:r>
            <w:r>
              <w:rPr>
                <w:b/>
                <w:bCs/>
                <w:sz w:val="20"/>
                <w:szCs w:val="20"/>
              </w:rPr>
              <w:t xml:space="preserve">vert</w:t>
            </w:r>
            <w:r>
              <w:rPr>
                <w:sz w:val="20"/>
                <w:szCs w:val="20"/>
              </w:rPr>
              <w:t xml:space="preserve"> au-delà. Les plus proches sont en haut.</w:t>
            </w:r>
          </w:p>
        </w:tc>
      </w:tr>
    </w:tbl>
    <w:p>
      <w:pPr>
        <w:pStyle w:val="Heading2"/>
        <w:pageBreakBefore/>
      </w:pPr>
      <w:r>
        <w:t xml:space="preserve">b) Licences FlexLM – Détail vendeur</w:t>
      </w:r>
    </w:p>
    <w:p>
      <w:pPr>
        <w:spacing w:after="120"/>
      </w:pPr>
      <w:r>
        <w:t xml:space="preserve">Dashboard </w:t>
      </w:r>
      <w:r>
        <w:rPr>
          <w:b/>
          <w:bCs/>
        </w:rPr>
        <w:t xml:space="preserve">Detail vendeur FlexLM</w:t>
      </w:r>
      <w:r>
        <w:t xml:space="preserve">. Il s'ouvre en cliquant sur un éditeur dans la vue globale. Mise à jour automatique toutes les 60 secondes. Période par défaut : 7 derniers jours.</w:t>
      </w:r>
    </w:p>
    <w:p>
      <w:pPr>
        <w:spacing w:after="160" w:before="80"/>
      </w:pPr>
      <w:r>
        <w:drawing>
          <wp:inline distT="0" distB="0" distL="0" distR="0">
            <wp:extent cx="6096000" cy="3686175"/>
            <wp:effectExtent t="0" r="0" b="0" l="0"/>
            <wp:docPr id="1" name="fd_full.png" descr="fd_full.png" title="fd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Vendeur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 affiché (un seul à la fois).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Licences a afficher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tracées dans le graphique 7. </w:t>
            </w:r>
            <w:r>
              <w:rPr>
                <w:b/>
                <w:bCs/>
                <w:sz w:val="20"/>
                <w:szCs w:val="20"/>
              </w:rPr>
              <w:t xml:space="preserve">All</w:t>
            </w:r>
            <w:r>
              <w:rPr>
                <w:sz w:val="20"/>
                <w:szCs w:val="20"/>
              </w:rPr>
              <w:t xml:space="preserve"> = toutes.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Retour a la vue globale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Revient au dashboard Vue globale.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Période du graphique 7. Les tableaux 5 et 6 affichent toujours la situation actuelle.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du vendeur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licences de l'éditeur (voir 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Utilisateurs connectes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utilise quelle licence en ce moment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Historique d'utilisation par 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des licences utilisées, licence par licence. Une courbe qui touche souvent 100 % = licence saturée : des utilisateurs ont pu attendre. Sous le graphique : </w:t>
            </w:r>
            <w:r>
              <w:rPr>
                <w:b/>
                <w:bCs/>
                <w:sz w:val="20"/>
                <w:szCs w:val="20"/>
              </w:rPr>
              <w:t xml:space="preserve">Mean</w:t>
            </w:r>
            <w:r>
              <w:rPr>
                <w:sz w:val="20"/>
                <w:szCs w:val="20"/>
              </w:rPr>
              <w:t xml:space="preserve"> = moyenne, </w:t>
            </w:r>
            <w:r>
              <w:rPr>
                <w:b/>
                <w:bCs/>
                <w:sz w:val="20"/>
                <w:szCs w:val="20"/>
              </w:rPr>
              <w:t xml:space="preserve">Max</w:t>
            </w:r>
            <w:r>
              <w:rPr>
                <w:sz w:val="20"/>
                <w:szCs w:val="20"/>
              </w:rPr>
              <w:t xml:space="preserve"> = maximum, </w:t>
            </w:r>
            <w:r>
              <w:rPr>
                <w:b/>
                <w:bCs/>
                <w:sz w:val="20"/>
                <w:szCs w:val="20"/>
              </w:rPr>
              <w:t xml:space="preserve">Last</w:t>
            </w:r>
            <w:r>
              <w:rPr>
                <w:sz w:val="20"/>
                <w:szCs w:val="20"/>
              </w:rPr>
              <w:t xml:space="preserve"> = valeur actuelle.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Licences du vendeur</w:t>
      </w:r>
    </w:p>
    <w:p>
      <w:pPr>
        <w:spacing w:after="160" w:before="80"/>
      </w:pPr>
      <w:r>
        <w:drawing>
          <wp:inline distT="0" distB="0" distL="0" distR="0">
            <wp:extent cx="6096000" cy="504825"/>
            <wp:effectExtent t="0" r="0" b="0" l="0"/>
            <wp:docPr id="1" name="fd_licences.png" descr="fd_licences.png" title="fd_lic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Utilisees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prises en ce moment.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Expiration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d'expiration. « Pas d'expiration » pour une licence permanente.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Tableau Utilisateurs connectés</w:t>
      </w:r>
    </w:p>
    <w:p>
      <w:pPr>
        <w:spacing w:after="160" w:before="80"/>
      </w:pPr>
      <w:r>
        <w:drawing>
          <wp:inline distT="0" distB="0" distL="0" distR="0">
            <wp:extent cx="6096000" cy="962025"/>
            <wp:effectExtent t="0" r="0" b="0" l="0"/>
            <wp:docPr id="1" name="fd_users.png" descr="fd_users.png" title="fd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prise.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Compte qui détient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Connecte depuis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Heure de prise de la licence. Une licence prise depuis plusieurs jours est souvent une session oubliée qui bloque un jeton.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 depuis laquelle la licence a été prise.</w:t>
            </w:r>
          </w:p>
        </w:tc>
      </w:tr>
    </w:tbl>
    <w:p>
      <w:pPr>
        <w:spacing w:after="120" w:before="120"/>
      </w:pPr>
      <w:r>
        <w:t xml:space="preserve">Les licences sont relevées toutes les minutes : une utilisation de quelques secondes peut ne pas apparaître.</w:t>
      </w:r>
    </w:p>
    <w:p>
      <w:pPr>
        <w:pStyle w:val="Heading2"/>
        <w:pageBreakBefore/>
      </w:pPr>
      <w:r>
        <w:t xml:space="preserve">c) Alertes</w:t>
      </w:r>
    </w:p>
    <w:p>
      <w:pPr>
        <w:spacing w:after="120"/>
      </w:pPr>
      <w:r>
        <w:t xml:space="preserve">Dashboard </w:t>
      </w:r>
      <w:r>
        <w:rPr>
          <w:b/>
          <w:bCs/>
        </w:rPr>
        <w:t xml:space="preserve">Supervision - Alerts</w:t>
      </w:r>
      <w:r>
        <w:t xml:space="preserve">. Il affiche les alertes en cours et leur historique. Mise à jour automatique toutes les 30 secondes. Aucun mail n'est envoyé : il faut consulter ce dashboard.</w:t>
      </w:r>
    </w:p>
    <w:p>
      <w:pPr>
        <w:spacing w:after="80" w:before="160"/>
      </w:pPr>
      <w:r>
        <w:rPr>
          <w:b/>
          <w:bCs/>
        </w:rPr>
        <w:t xml:space="preserve">Alertes surveillées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déclenche quand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ServerDown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serveur ne répond plus depuis 2 minutes.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HighCPUUsage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CPU d'un serveur dépasse 80 % pendant 5 minutes.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HighMemoryUsage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RAM d'un serveur dépasse 80 % pendant 5 minutes.</w:t>
            </w:r>
          </w:p>
        </w:tc>
      </w:tr>
    </w:tbl>
    <w:p>
      <w:pPr>
        <w:spacing w:after="120" w:before="120"/>
      </w:pPr>
      <w:r>
        <w:t xml:space="preserve">Une alerte s'arrête d'elle-même dès que la condition n'est plus vraie.</w:t>
      </w:r>
    </w:p>
    <w:p>
      <w:pPr>
        <w:spacing w:after="160" w:before="80"/>
      </w:pPr>
      <w:r>
        <w:drawing>
          <wp:inline distT="0" distB="0" distL="0" distR="0">
            <wp:extent cx="6096000" cy="3219450"/>
            <wp:effectExtent t="0" r="0" b="0" l="0"/>
            <wp:docPr id="1" name="al_top.png" descr="al_top.png" title="al_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Firing alerts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total d'alertes en cours. Vert à 0, rouge sinon.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Alertes critiques en cours (serveurs arrêtés).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Alertes CPU ou RAM en cours. Orange si au moins une.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 DOWN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qui ne répondent pas.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Online</w:t>
            </w:r>
            <w:r>
              <w:rPr>
                <w:sz w:val="20"/>
                <w:szCs w:val="20"/>
              </w:rPr>
              <w:t xml:space="preserve"> : serveurs qui répondent. </w:t>
            </w:r>
            <w:r>
              <w:rPr>
                <w:b/>
                <w:bCs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> : serveurs surveillés.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Currently firing alerts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des alertes en cours (voir 1). Vide quand tout va bien.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 per server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% et RAM % actuels de chaque serveur. Vert &lt; 60 %, orange &lt; 80 %, rouge au-delà.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des alertes en cours</w:t>
      </w:r>
    </w:p>
    <w:p>
      <w:pPr>
        <w:spacing w:after="160" w:before="80"/>
      </w:pPr>
      <w:r>
        <w:drawing>
          <wp:inline distT="0" distB="0" distL="0" distR="0">
            <wp:extent cx="6096000" cy="647700"/>
            <wp:effectExtent t="0" r="0" b="0" l="0"/>
            <wp:docPr id="1" name="al_firing.png" descr="al_firing.png" title="al_fi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  <w:r>
              <w:rPr>
                <w:sz w:val="20"/>
                <w:szCs w:val="20"/>
              </w:rPr>
              <w:t xml:space="preserve"> (rouge) ou </w:t>
            </w:r>
            <w:r>
              <w:rPr>
                <w:b/>
                <w:bCs/>
                <w:sz w:val="20"/>
                <w:szCs w:val="20"/>
              </w:rPr>
              <w:t xml:space="preserve">WARNING</w:t>
            </w:r>
            <w:r>
              <w:rPr>
                <w:sz w:val="20"/>
                <w:szCs w:val="20"/>
              </w:rPr>
              <w:t xml:space="preserve"> (orange). Les critiques sont en haut.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d'alerte (voir le tableau Alertes surveillées).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concerné.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Firing since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Début de l'alerte. Une alerte active depuis des jours signale un problème durable.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Historique des alertes</w:t>
      </w:r>
    </w:p>
    <w:p>
      <w:pPr>
        <w:spacing w:after="160" w:before="80"/>
      </w:pPr>
      <w:r>
        <w:drawing>
          <wp:inline distT="0" distB="0" distL="0" distR="0">
            <wp:extent cx="6096000" cy="2428875"/>
            <wp:effectExtent t="0" r="0" b="0" l="0"/>
            <wp:docPr id="1" name="al_bottom.png" descr="al_bottom.png" title="al_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 history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ligne par alerte et par serveur. Les zones rouges (FIRING) indiquent quand l'alerte était active sur la période choisie.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firing alerts over time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d'alertes actives dans le temps, une courbe par gravité.</w:t>
            </w:r>
          </w:p>
        </w:tc>
      </w:tr>
    </w:tbl>
    <w:p>
      <w:pPr>
        <w:spacing w:after="120" w:before="120"/>
      </w:pPr>
      <w:r>
        <w:t xml:space="preserve">Un serveur qui revient souvent dans l'historique (CPU ou RAM) est sous-dimensionné ou trop sollicité. Le dashboard Trends &amp; Capacity permet de le confirmer sur 30 jours.</w:t>
      </w:r>
    </w:p>
    <w:p>
      <w:pPr>
        <w:pStyle w:val="Heading2"/>
        <w:pageBreakBefore/>
      </w:pPr>
      <w:r>
        <w:t xml:space="preserve">d) Tendances &amp; capacité</w:t>
      </w:r>
    </w:p>
    <w:p>
      <w:pPr>
        <w:spacing w:after="120"/>
      </w:pPr>
      <w:r>
        <w:t xml:space="preserve">Dashboard </w:t>
      </w:r>
      <w:r>
        <w:rPr>
          <w:b/>
          <w:bCs/>
        </w:rPr>
        <w:t xml:space="preserve">CAO Compute - Trends &amp; Capacity</w:t>
      </w:r>
      <w:r>
        <w:t xml:space="preserve">. Tous les chiffres portent sur la période choisie (par défaut 30 jours, historique conservé 60 jours). Sur 30 jours, le chargement peut prendre quelques dizaines de secondes.</w:t>
      </w:r>
    </w:p>
    <w:p>
      <w:pPr>
        <w:spacing w:after="120"/>
      </w:pPr>
      <w:r>
        <w:t xml:space="preserve">Le dashboard est découpé en lignes repliables (key figures, pools, trends, users and storage, licences, KPI definitions). Cliquez sur le titre d'une ligne pour la replier ou la déplier.</w:t>
      </w:r>
    </w:p>
    <w:p>
      <w:pPr>
        <w:pStyle w:val="Heading3"/>
      </w:pPr>
      <w:r>
        <w:t xml:space="preserve">1) Barre de commandes</w:t>
      </w:r>
    </w:p>
    <w:p>
      <w:pPr>
        <w:spacing w:after="160" w:before="80"/>
      </w:pPr>
      <w:r>
        <w:drawing>
          <wp:inline distT="0" distB="0" distL="0" distR="0">
            <wp:extent cx="6096000" cy="247650"/>
            <wp:effectExtent t="0" r="0" b="0" l="0"/>
            <wp:docPr id="1" name="tr_bar.png" descr="tr_bar.png" title="tr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le calcul à certains serveurs. </w:t>
            </w:r>
            <w:r>
              <w:rPr>
                <w:b/>
                <w:bCs/>
                <w:sz w:val="20"/>
                <w:szCs w:val="20"/>
              </w:rPr>
              <w:t xml:space="preserve">All</w:t>
            </w:r>
            <w:r>
              <w:rPr>
                <w:sz w:val="20"/>
                <w:szCs w:val="20"/>
              </w:rPr>
              <w:t xml:space="preserve"> = tous.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vendors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la partie licences à certains éditeurs.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 overview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Ouvre le dashboard Global.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report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Ouvre le rapport de licences (non décrit ici).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Période étudiée. Comparez Last 7 days et Last 30 days pour voir une évolution.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Chiffres clés des serveurs</w:t>
      </w:r>
    </w:p>
    <w:p>
      <w:pPr>
        <w:spacing w:after="160" w:before="80"/>
      </w:pPr>
      <w:r>
        <w:drawing>
          <wp:inline distT="0" distB="0" distL="0" distR="0">
            <wp:extent cx="6096000" cy="2552700"/>
            <wp:effectExtent t="0" r="0" b="0" l="0"/>
            <wp:docPr id="1" name="tr_key.png" descr="tr_key.png" title="tr_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Average CPU usage (fleet)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de tous les serveurs sélectionnés. Bleu &lt; 10 %, vert &lt; 60 %, jaune &lt; 80 %,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Average RAM usage (fleet)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moyenne. Mêmes couleurs.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temps où les serveurs répondaient. 99 % sur 30 jours ≈ 7 h d'arrêt (redémarrages planifiés compris). Rouge &lt; 99 %, orange &lt; 99,9 %, vert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Often overloaded servers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au-dessus de 80 % de CPU plus de 10 % du temps (≈ 3 jours sur 30).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ranking over the period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ligne par serveur, triée par CPU moyen (voir 3).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3) Classement des serveurs</w:t>
      </w:r>
    </w:p>
    <w:p>
      <w:pPr>
        <w:spacing w:after="160" w:before="80"/>
      </w:pPr>
      <w:r>
        <w:drawing>
          <wp:inline distT="0" distB="0" distL="0" distR="0">
            <wp:extent cx="6096000" cy="828675"/>
            <wp:effectExtent t="0" r="0" b="0" l="0"/>
            <wp:docPr id="1" name="tr_ranking.png" descr="tr_ranking.png" title="tr_ran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du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 forte valeur entre CPU moyen et RAM moyenne (tableau ci-dessous).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CPU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sur la période, tous cœurs confondus.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CPU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le plus haut observé (moyenne sur 5 min). Les pics très courts peuvent ne pas apparaître.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overloaded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avec un CPU au-dessus de 80 %.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RAM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moyenne utilisée sur la période.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RAM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la plus haute observée.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où le serveur répondait.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Reboots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Redémarrages sur la période, planifiés ou non.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Niveaux de la colonne Usage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CPU ou RAM moyen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274D9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Unused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moins de 10 %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56A64B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à 30 %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F2CC0C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à 60 %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FF780A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à 80 %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E02F44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OverUsed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80 % et plus</w:t>
            </w:r>
          </w:p>
        </w:tc>
      </w:tr>
    </w:tbl>
    <w:p>
      <w:pPr>
        <w:spacing w:after="120" w:before="120"/>
      </w:pPr>
      <w:r>
        <w:t xml:space="preserve">Cliquez sur un titre de colonne pour trier. Survolez-le pour lire sa définition.</w:t>
      </w:r>
    </w:p>
    <w:p>
      <w:pPr>
        <w:pStyle w:val="Heading3"/>
      </w:pPr>
      <w:r>
        <w:t xml:space="preserve">4) Pools de serveurs identiques</w:t>
      </w:r>
    </w:p>
    <w:p>
      <w:pPr>
        <w:spacing w:after="120"/>
      </w:pPr>
      <w:r>
        <w:t xml:space="preserve">Les serveurs qui ont le même nombre de cœurs et la même RAM forment un pool. Cliquez sur la flèche à gauche d'une ligne pour voir ses serveurs.</w:t>
      </w:r>
    </w:p>
    <w:p>
      <w:pPr>
        <w:spacing w:after="160" w:before="80"/>
      </w:pPr>
      <w:r>
        <w:drawing>
          <wp:inline distT="0" distB="0" distL="0" distR="0">
            <wp:extent cx="6096000" cy="1409700"/>
            <wp:effectExtent t="0" r="0" b="0" l="0"/>
            <wp:docPr id="1" name="tr_pools.png" descr="tr_pools.png" title="tr_p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cœurs des serveurs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(GiB)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Mémoire des serveurs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serveurs dans le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 avg CPU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des serveurs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Least loaded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du serveur le moins chargé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 loaded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du serveur le plus chargé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 avg RAM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moyenne des serveurs du pool.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BogoMips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Vitesse CPU mesurée par Linux. Des serveurs identiques doivent avoir des valeurs proches.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CPU (%)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de ce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RAM (%)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moyenne de ce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overloaded (%)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où ce serveur dépassait 80 % de CPU.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Grand écart entre </w:t>
      </w:r>
      <w:r>
        <w:rPr>
          <w:b/>
          <w:bCs/>
        </w:rPr>
        <w:t xml:space="preserve">Least loaded</w:t>
      </w:r>
      <w:r>
        <w:t xml:space="preserve"> et </w:t>
      </w:r>
      <w:r>
        <w:rPr>
          <w:b/>
          <w:bCs/>
        </w:rPr>
        <w:t xml:space="preserve">Most loaded</w:t>
      </w:r>
      <w:r>
        <w:t xml:space="preserve"> = charge mal répartie entre des machines identiques : des utilisateurs peuvent être orientés vers les moins chargées.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Ligne sans cœurs ni RAM = serveur arrêté à la fin de la période.</w:t>
      </w:r>
    </w:p>
    <w:p>
      <w:pPr>
        <w:pStyle w:val="Heading3"/>
      </w:pPr>
      <w:r>
        <w:t xml:space="preserve">5) Calendriers d'utilisation</w:t>
      </w:r>
    </w:p>
    <w:p>
      <w:pPr>
        <w:spacing w:after="160" w:before="80"/>
      </w:pPr>
      <w:r>
        <w:drawing>
          <wp:inline distT="0" distB="0" distL="0" distR="0">
            <wp:extent cx="6096000" cy="2362200"/>
            <wp:effectExtent t="0" r="0" b="0" l="0"/>
            <wp:docPr id="1" name="tr_daily.png" descr="tr_daily.png" title="tr_dai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CPU usage per server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case = CPU moyen d'un serveur sur une journée. Bleu &lt; 10 %, vert &lt; 30 %, jaune &lt; 60 %, orange &lt; 80 %,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RAM usage per server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Même lecture pour la RAM. Toujours rouge = manque de RAM. Toujours bleu = RAM surdimensionnée.</w:t>
            </w:r>
          </w:p>
        </w:tc>
      </w:tr>
    </w:tbl>
    <w:p>
      <w:pPr>
        <w:spacing w:after="120" w:before="120"/>
      </w:pPr>
      <w:r>
        <w:t xml:space="preserve">Les calendriers font apparaître les week-ends, les serveurs inutilisés depuis des semaines et ceux qui saturent en permanence.</w:t>
      </w:r>
    </w:p>
    <w:p>
      <w:pPr>
        <w:pStyle w:val="Heading3"/>
      </w:pPr>
      <w:r>
        <w:t xml:space="preserve">6) Utilisateurs et disques</w:t>
      </w:r>
    </w:p>
    <w:p>
      <w:pPr>
        <w:spacing w:after="160" w:before="80"/>
      </w:pPr>
      <w:r>
        <w:drawing>
          <wp:inline distT="0" distB="0" distL="0" distR="0">
            <wp:extent cx="6096000" cy="1400175"/>
            <wp:effectExtent t="0" r="0" b="0" l="0"/>
            <wp:docPr id="1" name="tr_users.png" descr="tr_users.png" title="tr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15 users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CPU consommée par chaque utilisateur (total = 100 %). Comptes système exclus. Un numéro à la place d'un nom = compte non résolu dans l'annuaire.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disks - 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Taille et remplissage actuels des disques locaux, les plus pleins en haut. Vert &lt; 80 %, orange &lt; 90 %, rouge au-delà.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7) Licences – synthèse</w:t>
      </w:r>
    </w:p>
    <w:p>
      <w:pPr>
        <w:spacing w:after="160" w:before="80"/>
      </w:pPr>
      <w:r>
        <w:drawing>
          <wp:inline distT="0" distB="0" distL="0" distR="0">
            <wp:extent cx="6096000" cy="2667000"/>
            <wp:effectExtent t="0" r="0" b="0" l="0"/>
            <wp:docPr id="1" name="tr_lic1.png" descr="tr_lic1.png" title="tr_li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features tracked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licences suivies (une feature = un produit ou une option). Licences illimitées exclues.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fill rate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Taux de remplissage moyen = licences utilisées ÷ licences possédées, pour les licences utilisées au moins une fois. Bleu &lt; 20 %, vert &lt; 70 %, jaune &lt; 90 %,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used in the period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que personne n'a prises sur la période.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Saturated features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entièrement prises plus de 5 % du temps (≈ 36 h sur 30 jours).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Distinct licence users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Personnes différentes ayant pris au moins une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10 - most used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10 licences les plus remplies. Proche de 100 % = bloque probablement des utilisateurs aux heures de pointe.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10 - least used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10 licences les moins remplies parmi celles utilisées. Leur nombre peut sans doute être réduit.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never used in the period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jamais prises, avec le nombre possédé. Candidates à une réduction au renouvellement (vérifier sur 30 jours ou plus).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Saturated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entièrement prises à un moment : % du temps saturé, pic d'utilisation, nombre d'utilisateurs.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8) Licences – détail</w:t>
      </w:r>
    </w:p>
    <w:p>
      <w:pPr>
        <w:spacing w:after="160" w:before="80"/>
      </w:pPr>
      <w:r>
        <w:drawing>
          <wp:inline distT="0" distB="0" distL="0" distR="0">
            <wp:extent cx="6096000" cy="1752600"/>
            <wp:effectExtent t="0" r="0" b="0" l="0"/>
            <wp:docPr id="1" name="tr_all.png" descr="tr_all.png" title="tr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 de la licence (tableau ci-dessous).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in use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moyen de licences prises en même temps.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in use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maximum de licences prises en même temps.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fill rate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in use ÷ Owned.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fill rate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in use ÷ Owned. 100 % = toutes prises au moins une fois.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time saturated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où toutes les licences étaient prises.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Distinct users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d'utilisateurs différents.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Statuts (appliqués dans cet ordre)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Saturated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licences prises plus de 5 % du temps.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used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 prise sur la période.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Under-used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Moins de 20 % des licences prises en moyenne.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Healthy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 les autres cas.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9) Licences – évolution et utilisateurs</w:t>
      </w:r>
    </w:p>
    <w:p>
      <w:pPr>
        <w:spacing w:after="160" w:before="80"/>
      </w:pPr>
      <w:r>
        <w:drawing>
          <wp:inline distT="0" distB="0" distL="0" distR="0">
            <wp:extent cx="6096000" cy="1152525"/>
            <wp:effectExtent t="0" r="0" b="0" l="0"/>
            <wp:docPr id="1" name="tr_lic3.png" descr="tr_lic3.png" title="tr_li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fill rate per vendor over time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des licences de chaque éditeur prises, heure par heure. Montre les pics en journée, les week-ends et les congés.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15 licence users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de détention de licences par utilisateur. 1 licence pendant 1 heure = 1 licence-heure. Valeur approchée (relevé toutes les minutes).</w:t>
            </w:r>
          </w:p>
        </w:tc>
      </w:tr>
    </w:tbl>
    <w:p>
      <w:pPr>
        <w:spacing w:after="120" w:before="120"/>
      </w:pPr>
      <w:r>
        <w:t xml:space="preserve">La dernière ligne du dashboard, </w:t>
      </w:r>
      <w:r>
        <w:rPr>
          <w:b/>
          <w:bCs/>
        </w:rPr>
        <w:t xml:space="preserve">KPI definitions</w:t>
      </w:r>
      <w:r>
        <w:t xml:space="preserve">, rassemble la définition de tous les indicateurs. Cliquez sur son titre pour la déplier.</w:t>
      </w:r>
    </w:p>
    <w:p>
      <w:pPr>
        <w:pStyle w:val="Heading3"/>
      </w:pPr>
      <w:r>
        <w:t xml:space="preserve">10) Questions et où regarder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Où regarder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Quels serveurs sont les plus utilisés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d.3, tri sur Avg CPU.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Quels serveurs sont trop souvent saturés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d.3, tri sur Time overloaded.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Peut-on mieux répartir la charge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d.4, écart entre Least loaded et Most loaded.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Quels serveurs sont inutilisés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d.3 (Usage = Unused) et d.5 (cases bleues).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Quels serveurs manquent de mémoire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d.5, calendrier RAM, et alertes HighMemoryUsage (c).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consomme le plus de CPU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d.6, Top 15 users.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Quels disques vont être pleins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d.6, Local disks - usage.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Quelles licences réduire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d.7, Least used et Never used.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Quelles licences ajouter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d.7, Saturated licences, et d.8 (Status = Saturated).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utilise le plus les licences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d.9, Top 15 licence users, et b.2 pour la situation actuelle.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Quelles licences arrivent à expiration ?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a.3, Expiration des licences.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Supervision CAO – Documentation managers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sz w:val="23"/>
      <w:szCs w:val="23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cdd301d1d453dc9c75d363d9176dab34f12ca3.png"/><Relationship Id="rId9" Type="http://schemas.openxmlformats.org/officeDocument/2006/relationships/image" Target="media/f14870f4b4c1c2f9cd02eddcad7521fc12e0f3e6.png"/><Relationship Id="rId10" Type="http://schemas.openxmlformats.org/officeDocument/2006/relationships/image" Target="media/1c54d7f6767ad4bdacd8b820f7272e30db1985f1.png"/><Relationship Id="rId11" Type="http://schemas.openxmlformats.org/officeDocument/2006/relationships/image" Target="media/a72a7ac1ec29c53f029f6a6045e550e1ef48b594.png"/><Relationship Id="rId12" Type="http://schemas.openxmlformats.org/officeDocument/2006/relationships/image" Target="media/d088d1850c2d75a84351e85b6746a634098c87f2.png"/><Relationship Id="rId13" Type="http://schemas.openxmlformats.org/officeDocument/2006/relationships/image" Target="media/dd93ff7bd722b774dc4b80731f8e4715c764e84f.png"/><Relationship Id="rId14" Type="http://schemas.openxmlformats.org/officeDocument/2006/relationships/image" Target="media/ea2b416849ca957c5e86ef51d9cf595e745db332.png"/><Relationship Id="rId15" Type="http://schemas.openxmlformats.org/officeDocument/2006/relationships/image" Target="media/3c1b618687c14673983018c86d3290ddf3a4fb7a.png"/><Relationship Id="rId16" Type="http://schemas.openxmlformats.org/officeDocument/2006/relationships/image" Target="media/3bbf6bb027cb507c9ed482a3121aaa35a0d549df.png"/><Relationship Id="rId17" Type="http://schemas.openxmlformats.org/officeDocument/2006/relationships/image" Target="media/d822e20b85ceeec8c27164eca62d2c7aac6ff47a.png"/><Relationship Id="rId18" Type="http://schemas.openxmlformats.org/officeDocument/2006/relationships/image" Target="media/d9422eb82f5ea8f9e5971d3f19a81b1f207bff31.png"/><Relationship Id="rId19" Type="http://schemas.openxmlformats.org/officeDocument/2006/relationships/image" Target="media/ff5b169d1e9ec570cd9bc9cf94b4bd0ae18f9e52.png"/><Relationship Id="rId20" Type="http://schemas.openxmlformats.org/officeDocument/2006/relationships/image" Target="media/1c1169759ea9dcec4e9db54cb7cc0f5c1a243f1a.png"/><Relationship Id="rId21" Type="http://schemas.openxmlformats.org/officeDocument/2006/relationships/image" Target="media/3a8e9cd535d31c34f83d3834ddf94f9df05b29cb.png"/><Relationship Id="rId22" Type="http://schemas.openxmlformats.org/officeDocument/2006/relationships/image" Target="media/a417b201e51887fdef4ee577b1e11e0aa38c7c76.png"/><Relationship Id="rId23" Type="http://schemas.openxmlformats.org/officeDocument/2006/relationships/image" Target="media/1075dd98947008417b491fa9048b10a9898ad501.png"/><Relationship Id="rId24" Type="http://schemas.openxmlformats.org/officeDocument/2006/relationships/image" Target="media/16aa2daabed4052e92de2a72481462c50d3f00b6.png"/><Relationship Id="rId25" Type="http://schemas.openxmlformats.org/officeDocument/2006/relationships/image" Target="media/b3be588d0c6aba907627807b3575af4812358083.png"/><Relationship Id="rId26" Type="http://schemas.openxmlformats.org/officeDocument/2006/relationships/image" Target="media/f01dafbee37bbe1b7379c9062d4178a4e642f464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des serveurs de calcul CAO - Documentation managers</dc:title>
  <dc:creator>TSAEM</dc:creator>
  <cp:lastModifiedBy>Un-named</cp:lastModifiedBy>
  <cp:revision>1</cp:revision>
  <dcterms:created xsi:type="dcterms:W3CDTF">2026-10-20T08:44:45.825Z</dcterms:created>
  <dcterms:modified xsi:type="dcterms:W3CDTF">2026-10-20T08:44:45.831Z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