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A1" w:rsidRDefault="00ED10A7" w:rsidP="00ED10A7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D10A7">
        <w:rPr>
          <w:rFonts w:ascii="Times New Roman" w:hAnsi="Times New Roman" w:cs="Times New Roman"/>
          <w:sz w:val="28"/>
          <w:szCs w:val="28"/>
        </w:rPr>
        <w:t xml:space="preserve">4. Анализ </w:t>
      </w:r>
      <w:r w:rsidR="004B6765">
        <w:rPr>
          <w:rFonts w:ascii="Times New Roman" w:hAnsi="Times New Roman" w:cs="Times New Roman"/>
          <w:sz w:val="28"/>
          <w:szCs w:val="28"/>
        </w:rPr>
        <w:t>результатов</w:t>
      </w:r>
    </w:p>
    <w:p w:rsidR="00301AFE" w:rsidRDefault="00301AFE" w:rsidP="00301AFE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10A7" w:rsidRDefault="00ED10A7" w:rsidP="00EA28A1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условиям технического задания реализация должна обеспечивать пропускную способность</w:t>
      </w:r>
      <w:r w:rsidR="00F3294F">
        <w:rPr>
          <w:rFonts w:ascii="Times New Roman" w:hAnsi="Times New Roman" w:cs="Times New Roman"/>
          <w:sz w:val="28"/>
          <w:szCs w:val="28"/>
        </w:rPr>
        <w:t>, достаточную для обработки цветного видеопотока в разрешении 1920х1080. За счет использования ФПГА в этой задаче можно разделить обработку цветных каналов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94F">
        <w:rPr>
          <w:rFonts w:ascii="Times New Roman" w:hAnsi="Times New Roman" w:cs="Times New Roman"/>
          <w:sz w:val="28"/>
          <w:szCs w:val="28"/>
        </w:rPr>
        <w:t>на параллельные потоки, тем самым упростив логику обработки.</w:t>
      </w:r>
    </w:p>
    <w:p w:rsidR="004B6765" w:rsidRDefault="004B6765" w:rsidP="00EA28A1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Стандартной рабочей частотой при работе с таким разрешением является 150 МГц, которая задает скорость поступления данных на обработку каждые </w:t>
      </w:r>
      <w:r w:rsidR="008D15B1">
        <w:rPr>
          <w:rFonts w:ascii="Times New Roman" w:hAnsi="Times New Roman" w:cs="Times New Roman"/>
          <w:sz w:val="28"/>
          <w:szCs w:val="28"/>
        </w:rPr>
        <w:t>6.7</w:t>
      </w:r>
      <w:r>
        <w:rPr>
          <w:rFonts w:ascii="Times New Roman" w:hAnsi="Times New Roman" w:cs="Times New Roman"/>
          <w:sz w:val="28"/>
          <w:szCs w:val="28"/>
        </w:rPr>
        <w:t xml:space="preserve"> нс.</w:t>
      </w:r>
    </w:p>
    <w:p w:rsidR="004B6765" w:rsidRDefault="004B6765" w:rsidP="00EA28A1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конвейерной архитектуры разработанных модулей они готовы принимать на вход данные каждый такт, не внося дополнительную задержку на обработку текущей маски.</w:t>
      </w:r>
    </w:p>
    <w:p w:rsidR="004B6765" w:rsidRDefault="004B6765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каждый модуль внутри разбит на большое число мелких операций, таких как суммирование, умножение, вычитание и умножение, результаты которых на каждом такте сохраняются в конвейерных регистрах.</w:t>
      </w:r>
    </w:p>
    <w:p w:rsidR="004B6765" w:rsidRDefault="004B6765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позволил использовать минимум ресурсов для реализации при максимальной рабочей частоте.</w:t>
      </w:r>
    </w:p>
    <w:p w:rsidR="004B6765" w:rsidRDefault="004B6765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Существенных ограничений для выбора кристалла ПЛИС нет, за исключением наличия аппаратных блоков памяти и ДСП, которые повсеместно используются в проекте, и наличием дифференциальных входов/выходов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LVDS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765" w:rsidRDefault="004B6765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ПЛИС имеют все необходимые блоки во всем модельном ряде. Однако более старые модели ПЛИС, например линейка </w:t>
      </w:r>
      <w:r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4B6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Altera</w:t>
      </w:r>
      <w:r>
        <w:rPr>
          <w:rFonts w:ascii="Times New Roman" w:hAnsi="Times New Roman" w:cs="Times New Roman"/>
          <w:sz w:val="28"/>
          <w:szCs w:val="28"/>
        </w:rPr>
        <w:t>, вероятно не сможет обеспечить такую высокую рабочую частоту без специальных оптимизацией по размещению синтезированной схемы по кристаллу, либо не сможет ее обеспечить вовсе.</w:t>
      </w:r>
    </w:p>
    <w:p w:rsidR="004B6765" w:rsidRDefault="00B81B47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мы опирались на имеющуюся в наличие отладочную плату с кристаллом </w:t>
      </w:r>
      <w:r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B8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8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ceba</w:t>
      </w:r>
      <w:r w:rsidRPr="00B81B4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8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высокоскоростных мультигигабитных трансиверов (см. рис. 1).</w:t>
      </w:r>
    </w:p>
    <w:p w:rsidR="00B81B47" w:rsidRDefault="00B81B47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отладочной плате имеется черно-белый фотоприемник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SONY</w:t>
      </w:r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IMX</w:t>
      </w:r>
      <w:r w:rsidRPr="00B81B47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представляет собой управляемый КМОП сенсор, работающий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LVDS</w:t>
      </w:r>
      <w:r>
        <w:rPr>
          <w:rFonts w:ascii="Times New Roman" w:hAnsi="Times New Roman" w:cs="Times New Roman"/>
          <w:sz w:val="28"/>
          <w:szCs w:val="28"/>
        </w:rPr>
        <w:t xml:space="preserve">. Также имеет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персональным компьютером.</w:t>
      </w:r>
    </w:p>
    <w:p w:rsidR="00B81B47" w:rsidRDefault="00B81B47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Синтезированный проект встраивался в конвейер обработки видеопотока с последующим выводом на экран( см. рис.2.)</w:t>
      </w:r>
    </w:p>
    <w:p w:rsidR="00BE7926" w:rsidRDefault="00B81B47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разработанный фильтр фильтр вносит задержку на обработку, которая </w:t>
      </w:r>
      <w:r w:rsidR="00BE7926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BE79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7926" w:rsidRPr="00BE7926">
        <w:rPr>
          <w:rFonts w:ascii="Times New Roman" w:hAnsi="Times New Roman" w:cs="Times New Roman"/>
          <w:sz w:val="28"/>
          <w:szCs w:val="28"/>
        </w:rPr>
        <w:t xml:space="preserve">-1 </w:t>
      </w:r>
      <w:r w:rsidR="00BE7926">
        <w:rPr>
          <w:rFonts w:ascii="Times New Roman" w:hAnsi="Times New Roman" w:cs="Times New Roman"/>
          <w:sz w:val="28"/>
          <w:szCs w:val="28"/>
        </w:rPr>
        <w:t xml:space="preserve">строк, где </w:t>
      </w:r>
      <w:r w:rsidR="00BE79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7926" w:rsidRPr="00BE7926">
        <w:rPr>
          <w:rFonts w:ascii="Times New Roman" w:hAnsi="Times New Roman" w:cs="Times New Roman"/>
          <w:sz w:val="28"/>
          <w:szCs w:val="28"/>
        </w:rPr>
        <w:t xml:space="preserve"> </w:t>
      </w:r>
      <w:r w:rsidR="00BE7926">
        <w:rPr>
          <w:rFonts w:ascii="Times New Roman" w:hAnsi="Times New Roman" w:cs="Times New Roman"/>
          <w:sz w:val="28"/>
          <w:szCs w:val="28"/>
        </w:rPr>
        <w:t xml:space="preserve">– размер маски фильтра. Т.е. для того, чтобы сформировать скользящее окно, должны быть накоплены </w:t>
      </w:r>
      <w:r w:rsidR="00BE79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7926" w:rsidRPr="00BE7926">
        <w:rPr>
          <w:rFonts w:ascii="Times New Roman" w:hAnsi="Times New Roman" w:cs="Times New Roman"/>
          <w:sz w:val="28"/>
          <w:szCs w:val="28"/>
        </w:rPr>
        <w:t xml:space="preserve">-1 </w:t>
      </w:r>
      <w:r w:rsidR="00BE7926">
        <w:rPr>
          <w:rFonts w:ascii="Times New Roman" w:hAnsi="Times New Roman" w:cs="Times New Roman"/>
          <w:sz w:val="28"/>
          <w:szCs w:val="28"/>
        </w:rPr>
        <w:t>предыдущих строк. При разрешении видеопотока 1920х1080 задержка на накопление необходимое количество строк для начала обработки будет несравнимо больше самой задержки на фильтрацию, которая в свою очередь зависит от типа используемого фильтра.</w:t>
      </w:r>
    </w:p>
    <w:p w:rsidR="00BE7926" w:rsidRDefault="00BE7926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BE7926" w:rsidTr="00BE7926">
        <w:tc>
          <w:tcPr>
            <w:tcW w:w="3095" w:type="dxa"/>
            <w:vMerge w:val="restart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Медианный</w:t>
            </w: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тактов</w:t>
            </w:r>
          </w:p>
        </w:tc>
      </w:tr>
      <w:tr w:rsidR="00BE7926" w:rsidTr="00BE7926">
        <w:tc>
          <w:tcPr>
            <w:tcW w:w="3095" w:type="dxa"/>
            <w:vMerge w:val="restart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Биномиальный</w:t>
            </w: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тактов</w:t>
            </w:r>
          </w:p>
        </w:tc>
      </w:tr>
      <w:tr w:rsidR="00BE7926" w:rsidTr="00BE7926">
        <w:tc>
          <w:tcPr>
            <w:tcW w:w="3095" w:type="dxa"/>
            <w:vMerge w:val="restart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Усредняющий</w:t>
            </w: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тактов</w:t>
            </w:r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тактов</w:t>
            </w:r>
          </w:p>
        </w:tc>
      </w:tr>
    </w:tbl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Задержка которую вносит часть схемы для формирования самого скользящего окна также зависит от размера маски и составляет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такта</w:t>
            </w:r>
          </w:p>
        </w:tc>
      </w:tr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тактов</w:t>
            </w:r>
          </w:p>
        </w:tc>
      </w:tr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тактов</w:t>
            </w:r>
          </w:p>
        </w:tc>
      </w:tr>
    </w:tbl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Задержка на накопления строк кадра зависит от длины строки кадра, причем необходимо учитывать также и служебные синхрокоды и время обратного хода.</w:t>
      </w:r>
    </w:p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2244">
        <w:rPr>
          <w:rFonts w:ascii="Times New Roman" w:hAnsi="Times New Roman" w:cs="Times New Roman"/>
          <w:sz w:val="28"/>
          <w:szCs w:val="28"/>
        </w:rPr>
        <w:t>Длина данных строки – 1920</w:t>
      </w:r>
    </w:p>
    <w:p w:rsidR="00882244" w:rsidRDefault="00882244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для цветокоррекции – 16</w:t>
      </w:r>
    </w:p>
    <w:p w:rsidR="00882244" w:rsidRDefault="00882244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Синхрокоды – 8</w:t>
      </w:r>
    </w:p>
    <w:p w:rsidR="00882244" w:rsidRDefault="00882244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Остальное – 256</w:t>
      </w:r>
    </w:p>
    <w:p w:rsidR="00882244" w:rsidRDefault="00882244" w:rsidP="00882244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- 2200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3х3</w:t>
            </w:r>
          </w:p>
        </w:tc>
        <w:tc>
          <w:tcPr>
            <w:tcW w:w="4643" w:type="dxa"/>
          </w:tcPr>
          <w:p w:rsidR="00BE7926" w:rsidRDefault="00882244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4400 тактов</w:t>
            </w:r>
          </w:p>
        </w:tc>
      </w:tr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4643" w:type="dxa"/>
          </w:tcPr>
          <w:p w:rsidR="00BE7926" w:rsidRDefault="00882244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 тактов</w:t>
            </w:r>
          </w:p>
        </w:tc>
      </w:tr>
      <w:tr w:rsidR="00BE7926" w:rsidTr="00BE7926">
        <w:tc>
          <w:tcPr>
            <w:tcW w:w="4643" w:type="dxa"/>
          </w:tcPr>
          <w:p w:rsidR="00BE7926" w:rsidRDefault="00BE7926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4643" w:type="dxa"/>
          </w:tcPr>
          <w:p w:rsidR="00BE7926" w:rsidRDefault="00882244" w:rsidP="00BE7926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13200 тактов</w:t>
            </w:r>
          </w:p>
        </w:tc>
      </w:tr>
    </w:tbl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2244" w:rsidRDefault="00882244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882244" w:rsidTr="00924F69">
        <w:tc>
          <w:tcPr>
            <w:tcW w:w="3095" w:type="dxa"/>
            <w:vMerge w:val="restart"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Медианный</w:t>
            </w:r>
          </w:p>
        </w:tc>
        <w:tc>
          <w:tcPr>
            <w:tcW w:w="3095" w:type="dxa"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882244" w:rsidRDefault="008D15B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29,4 мкс</w:t>
            </w:r>
          </w:p>
        </w:tc>
      </w:tr>
      <w:tr w:rsidR="00882244" w:rsidTr="00924F69">
        <w:tc>
          <w:tcPr>
            <w:tcW w:w="3095" w:type="dxa"/>
            <w:vMerge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882244" w:rsidRDefault="008D15B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59,2 мкс</w:t>
            </w:r>
          </w:p>
        </w:tc>
      </w:tr>
      <w:tr w:rsidR="00882244" w:rsidTr="00924F69">
        <w:tc>
          <w:tcPr>
            <w:tcW w:w="3095" w:type="dxa"/>
            <w:vMerge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882244" w:rsidRDefault="00882244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882244" w:rsidRDefault="008D15B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 мкс</w:t>
            </w:r>
          </w:p>
        </w:tc>
      </w:tr>
      <w:tr w:rsidR="00FC5EAC" w:rsidTr="00924F69">
        <w:tc>
          <w:tcPr>
            <w:tcW w:w="3095" w:type="dxa"/>
            <w:vMerge w:val="restart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Биномиальный</w:t>
            </w: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29,4 мкс</w:t>
            </w:r>
          </w:p>
        </w:tc>
      </w:tr>
      <w:tr w:rsidR="00FC5EAC" w:rsidTr="00924F69">
        <w:tc>
          <w:tcPr>
            <w:tcW w:w="3095" w:type="dxa"/>
            <w:vMerge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59,2 мкс</w:t>
            </w:r>
          </w:p>
        </w:tc>
      </w:tr>
      <w:tr w:rsidR="00FC5EAC" w:rsidTr="00924F69">
        <w:tc>
          <w:tcPr>
            <w:tcW w:w="3095" w:type="dxa"/>
            <w:vMerge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 мкс</w:t>
            </w:r>
          </w:p>
        </w:tc>
      </w:tr>
      <w:tr w:rsidR="00FC5EAC" w:rsidTr="00924F69">
        <w:tc>
          <w:tcPr>
            <w:tcW w:w="3095" w:type="dxa"/>
            <w:vMerge w:val="restart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Усредняющий</w:t>
            </w: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29,4 мкс</w:t>
            </w:r>
          </w:p>
        </w:tc>
      </w:tr>
      <w:tr w:rsidR="00FC5EAC" w:rsidTr="00924F69">
        <w:tc>
          <w:tcPr>
            <w:tcW w:w="3095" w:type="dxa"/>
            <w:vMerge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59,2 мкс</w:t>
            </w:r>
          </w:p>
        </w:tc>
      </w:tr>
      <w:tr w:rsidR="00FC5EAC" w:rsidTr="00924F69">
        <w:tc>
          <w:tcPr>
            <w:tcW w:w="3095" w:type="dxa"/>
            <w:vMerge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FC5EAC" w:rsidRDefault="00FC5EA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 мкс</w:t>
            </w:r>
          </w:p>
        </w:tc>
      </w:tr>
    </w:tbl>
    <w:p w:rsidR="00882244" w:rsidRDefault="00882244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3790" w:rsidRDefault="002C760C" w:rsidP="002C760C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Ресурсы:</w:t>
      </w:r>
    </w:p>
    <w:p w:rsidR="002C760C" w:rsidRDefault="002C760C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46C01" w:rsidRDefault="00D46C01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памяти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2C760C" w:rsidTr="00924F69"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760C" w:rsidTr="00924F69"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C760C" w:rsidTr="00924F69"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4643" w:type="dxa"/>
          </w:tcPr>
          <w:p w:rsidR="002C760C" w:rsidRDefault="002C760C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:rsidR="002C760C" w:rsidRDefault="002C760C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46C01" w:rsidRDefault="00D46C01" w:rsidP="00D46C0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D46C01" w:rsidTr="00924F69"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46C01" w:rsidTr="00924F69"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46C01" w:rsidTr="00924F69"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4643" w:type="dxa"/>
          </w:tcPr>
          <w:p w:rsidR="00D46C01" w:rsidRDefault="00D46C01" w:rsidP="00924F69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D46C01" w:rsidRDefault="00D46C01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3DCB" w:rsidRDefault="00B53DCB" w:rsidP="00B53DCB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ДСП для измерителя всегда 7 ДСП.</w:t>
      </w:r>
    </w:p>
    <w:p w:rsidR="00B53DCB" w:rsidRDefault="00B53DCB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59B2" w:rsidRDefault="00BA59B2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31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B2" w:rsidRDefault="00BA59B2" w:rsidP="002C760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B2" w:rsidRPr="00BE7926" w:rsidRDefault="00B53DCB" w:rsidP="00FC5EA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9450" cy="5145900"/>
            <wp:effectExtent l="0" t="0" r="0" b="0"/>
            <wp:docPr id="3" name="Рисунок 3" descr="https://cpe.ifmo.ru/public/nodes/07/16/d9/17/screenshot%202018-08-06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pe.ifmo.ru/public/nodes/07/16/d9/17/screenshot%202018-08-06%20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4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9B2" w:rsidRPr="00BE7926" w:rsidSect="00ED10A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82"/>
    <w:rsid w:val="002C760C"/>
    <w:rsid w:val="00301AFE"/>
    <w:rsid w:val="004B6765"/>
    <w:rsid w:val="00882244"/>
    <w:rsid w:val="008D15B1"/>
    <w:rsid w:val="009644A1"/>
    <w:rsid w:val="00A71F82"/>
    <w:rsid w:val="00B53DCB"/>
    <w:rsid w:val="00B81B47"/>
    <w:rsid w:val="00B83790"/>
    <w:rsid w:val="00BA59B2"/>
    <w:rsid w:val="00BE7926"/>
    <w:rsid w:val="00D46C01"/>
    <w:rsid w:val="00EA28A1"/>
    <w:rsid w:val="00ED10A7"/>
    <w:rsid w:val="00F3294F"/>
    <w:rsid w:val="00F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12</cp:revision>
  <dcterms:created xsi:type="dcterms:W3CDTF">2021-05-20T13:55:00Z</dcterms:created>
  <dcterms:modified xsi:type="dcterms:W3CDTF">2021-05-20T15:07:00Z</dcterms:modified>
</cp:coreProperties>
</file>