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0"/>
        <w:jc w:val="center"/>
      </w:pPr>
      <w:r>
        <w:rPr>
          <w:rFonts w:ascii="Calibri" w:hAnsi="Calibri"/>
          <w:b/>
          <w:color w:val="12233F"/>
          <w:sz w:val="48"/>
        </w:rPr>
        <w:t>PT. Kawan Lama Sejahtera</w:t>
      </w:r>
    </w:p>
    <w:p>
      <w:pPr>
        <w:spacing w:before="0" w:after="160"/>
        <w:jc w:val="center"/>
      </w:pPr>
      <w:r>
        <w:rPr>
          <w:rFonts w:ascii="Calibri" w:hAnsi="Calibri"/>
          <w:b/>
          <w:color w:val="64748B"/>
          <w:sz w:val="23"/>
        </w:rPr>
        <w:t>LOAD &amp; PACKING INVOICE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6" w:color="FFFFFF"/>
          <w:left w:val="single" w:sz="16" w:color="FFFFFF"/>
          <w:bottom w:val="single" w:sz="16" w:color="FFFFFF"/>
          <w:right w:val="single" w:sz="16" w:color="FFFFFF"/>
          <w:insideH w:val="single" w:sz="16" w:color="FFFFFF"/>
          <w:insideV w:val="single" w:sz="16" w:color="FFFFFF"/>
        </w:tblBorders>
        <w:tblLayout w:type="fixed"/>
        <w:tblCellMar>
          <w:top w:w="60" w:type="dxa"/>
          <w:bottom w:w="60" w:type="dxa"/>
          <w:left w:w="80" w:type="dxa"/>
          <w:right w:w="80" w:type="dxa"/>
        </w:tblCellMar>
        <w:tblLayout w:type="fixed"/>
      </w:tblPr>
      <w:tblGrid>
        <w:gridCol w:w="2613"/>
        <w:gridCol w:w="2613"/>
        <w:gridCol w:w="2613"/>
        <w:gridCol w:w="2613"/>
      </w:tblGrid>
      <w:tr>
        <w:tc>
          <w:tcPr>
            <w:tcW w:type="dxa" w:w="2614"/>
            <w:vAlign w:val="center"/>
            <w:shd w:val="clear" w:fill="F4F7FA"/>
          </w:tcPr>
          <w:p>
            <w:pPr>
              <w:spacing w:before="0" w:after="20"/>
              <w:jc w:val="center"/>
            </w:pPr>
            <w:r>
              <w:rPr>
                <w:rFonts w:ascii="Calibri" w:hAnsi="Calibri"/>
                <w:b/>
                <w:color w:val="64748B"/>
                <w:sz w:val="14"/>
              </w:rPr>
              <w:t>DOCUMENT ID</w:t>
            </w:r>
          </w:p>
        </w:tc>
        <w:tc>
          <w:tcPr>
            <w:tcW w:type="dxa" w:w="2614"/>
            <w:vAlign w:val="center"/>
            <w:shd w:val="clear" w:fill="F4F7FA"/>
          </w:tcPr>
          <w:p>
            <w:pPr>
              <w:spacing w:before="0" w:after="20"/>
              <w:jc w:val="center"/>
            </w:pPr>
            <w:r>
              <w:rPr>
                <w:rFonts w:ascii="Calibri" w:hAnsi="Calibri"/>
                <w:b/>
                <w:color w:val="64748B"/>
                <w:sz w:val="14"/>
              </w:rPr>
              <w:t>DOCK</w:t>
            </w:r>
          </w:p>
        </w:tc>
        <w:tc>
          <w:tcPr>
            <w:tcW w:type="dxa" w:w="2614"/>
            <w:vAlign w:val="center"/>
            <w:shd w:val="clear" w:fill="F4F7FA"/>
          </w:tcPr>
          <w:p>
            <w:pPr>
              <w:spacing w:before="0" w:after="20"/>
              <w:jc w:val="center"/>
            </w:pPr>
            <w:r>
              <w:rPr>
                <w:rFonts w:ascii="Calibri" w:hAnsi="Calibri"/>
                <w:b/>
                <w:color w:val="64748B"/>
                <w:sz w:val="14"/>
              </w:rPr>
              <w:t>TRUCK</w:t>
            </w:r>
          </w:p>
        </w:tc>
        <w:tc>
          <w:tcPr>
            <w:tcW w:type="dxa" w:w="2614"/>
            <w:vAlign w:val="center"/>
            <w:shd w:val="clear" w:fill="F4F7FA"/>
          </w:tcPr>
          <w:p>
            <w:pPr>
              <w:spacing w:before="0" w:after="20"/>
              <w:jc w:val="center"/>
            </w:pPr>
            <w:r>
              <w:rPr>
                <w:rFonts w:ascii="Calibri" w:hAnsi="Calibri"/>
                <w:b/>
                <w:color w:val="64748B"/>
                <w:sz w:val="14"/>
              </w:rPr>
              <w:t>FLEET STATUS</w:t>
            </w:r>
          </w:p>
        </w:tc>
      </w:tr>
      <w:tr>
        <w:tc>
          <w:tcPr>
            <w:tcW w:type="dxa" w:w="2614"/>
            <w:vAlign w:val="center"/>
            <w:shd w:val="clear" w:fill="F4F7F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2233F"/>
                <w:sz w:val="23"/>
              </w:rPr>
              <w:t>AX-D2-20260917-01</w:t>
            </w:r>
          </w:p>
        </w:tc>
        <w:tc>
          <w:tcPr>
            <w:tcW w:type="dxa" w:w="2614"/>
            <w:vAlign w:val="center"/>
            <w:shd w:val="clear" w:fill="F4F7F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2233F"/>
                <w:sz w:val="23"/>
              </w:rPr>
              <w:t>Dock 2</w:t>
            </w:r>
          </w:p>
        </w:tc>
        <w:tc>
          <w:tcPr>
            <w:tcW w:type="dxa" w:w="2614"/>
            <w:vAlign w:val="center"/>
            <w:shd w:val="clear" w:fill="F4F7F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2233F"/>
                <w:sz w:val="23"/>
              </w:rPr>
              <w:t>Truck-2</w:t>
            </w:r>
          </w:p>
        </w:tc>
        <w:tc>
          <w:tcPr>
            <w:tcW w:type="dxa" w:w="2614"/>
            <w:vAlign w:val="center"/>
            <w:shd w:val="clear" w:fill="F4F7F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F766E"/>
                <w:sz w:val="23"/>
              </w:rPr>
              <w:t>FINISHED</w:t>
            </w:r>
          </w:p>
        </w:tc>
      </w:tr>
    </w:tbl>
    <w:p>
      <w:pPr>
        <w:spacing w:before="280" w:after="20"/>
        <w:jc w:val="center"/>
      </w:pPr>
      <w:r>
        <w:rPr>
          <w:rFonts w:ascii="Calibri" w:hAnsi="Calibri"/>
          <w:b/>
          <w:color w:val="12233F"/>
          <w:sz w:val="26"/>
        </w:rPr>
        <w:t>AT A GLANCE</w:t>
      </w:r>
    </w:p>
    <w:p>
      <w:pPr>
        <w:spacing w:before="0" w:after="120"/>
        <w:jc w:val="center"/>
      </w:pPr>
      <w:r>
        <w:rPr>
          <w:rFonts w:ascii="Calibri" w:hAnsi="Calibri"/>
          <w:b w:val="0"/>
          <w:color w:val="64748B"/>
          <w:sz w:val="15"/>
        </w:rPr>
        <w:t>Executive Load Snapshot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6" w:color="FFFFFF"/>
          <w:left w:val="single" w:sz="16" w:color="FFFFFF"/>
          <w:bottom w:val="single" w:sz="16" w:color="FFFFFF"/>
          <w:right w:val="single" w:sz="16" w:color="FFFFFF"/>
          <w:insideH w:val="single" w:sz="16" w:color="FFFFFF"/>
          <w:insideV w:val="single" w:sz="16" w:color="FFFFFF"/>
        </w:tblBorders>
        <w:tblLayout w:type="fixed"/>
        <w:tblCellMar>
          <w:top w:w="60" w:type="dxa"/>
          <w:bottom w:w="60" w:type="dxa"/>
          <w:left w:w="80" w:type="dxa"/>
          <w:right w:w="80" w:type="dxa"/>
        </w:tblCellMar>
        <w:tblLayout w:type="fixed"/>
      </w:tblPr>
      <w:tblGrid>
        <w:gridCol w:w="2613"/>
        <w:gridCol w:w="2613"/>
        <w:gridCol w:w="2613"/>
        <w:gridCol w:w="2613"/>
      </w:tblGrid>
      <w:tr>
        <w:tc>
          <w:tcPr>
            <w:tcW w:type="dxa" w:w="2614"/>
            <w:vAlign w:val="center"/>
            <w:shd w:val="clear" w:fill="F4F7FA"/>
          </w:tcPr>
          <w:p>
            <w:pPr>
              <w:spacing w:before="0" w:after="20"/>
              <w:jc w:val="center"/>
            </w:pPr>
            <w:r>
              <w:rPr>
                <w:rFonts w:ascii="Calibri" w:hAnsi="Calibri"/>
                <w:b/>
                <w:color w:val="64748B"/>
                <w:sz w:val="14"/>
              </w:rPr>
              <w:t>PACKAGES</w:t>
            </w:r>
          </w:p>
          <w:p>
            <w:pPr>
              <w:spacing w:before="0" w:after="20"/>
              <w:jc w:val="center"/>
            </w:pPr>
            <w:r>
              <w:rPr>
                <w:rFonts w:ascii="Calibri" w:hAnsi="Calibri"/>
                <w:b/>
                <w:color w:val="0F766E"/>
                <w:sz w:val="38"/>
              </w:rPr>
              <w:t>194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64748B"/>
                <w:sz w:val="13"/>
              </w:rPr>
              <w:t>194 packages packed / 198 from manifest</w:t>
            </w:r>
          </w:p>
        </w:tc>
        <w:tc>
          <w:tcPr>
            <w:tcW w:type="dxa" w:w="2614"/>
            <w:vAlign w:val="center"/>
            <w:shd w:val="clear" w:fill="F4F7FA"/>
          </w:tcPr>
          <w:p>
            <w:pPr>
              <w:spacing w:before="0" w:after="20"/>
              <w:jc w:val="center"/>
            </w:pPr>
            <w:r>
              <w:rPr>
                <w:rFonts w:ascii="Calibri" w:hAnsi="Calibri"/>
                <w:b/>
                <w:color w:val="64748B"/>
                <w:sz w:val="14"/>
              </w:rPr>
              <w:t>LOADED WEIGHT</w:t>
            </w:r>
          </w:p>
          <w:p>
            <w:pPr>
              <w:spacing w:before="0" w:after="20"/>
              <w:jc w:val="center"/>
            </w:pPr>
            <w:r>
              <w:rPr>
                <w:rFonts w:ascii="Calibri" w:hAnsi="Calibri"/>
                <w:b/>
                <w:color w:val="12233F"/>
                <w:sz w:val="38"/>
              </w:rPr>
              <w:t>2,593 kg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64748B"/>
                <w:sz w:val="13"/>
              </w:rPr>
              <w:t>2,773 kg planned total</w:t>
            </w:r>
          </w:p>
        </w:tc>
        <w:tc>
          <w:tcPr>
            <w:tcW w:type="dxa" w:w="2614"/>
            <w:vAlign w:val="center"/>
            <w:shd w:val="clear" w:fill="F4F7FA"/>
          </w:tcPr>
          <w:p>
            <w:pPr>
              <w:spacing w:before="0" w:after="20"/>
              <w:jc w:val="center"/>
            </w:pPr>
            <w:r>
              <w:rPr>
                <w:rFonts w:ascii="Calibri" w:hAnsi="Calibri"/>
                <w:b/>
                <w:color w:val="64748B"/>
                <w:sz w:val="14"/>
              </w:rPr>
              <w:t>VOLUME UTILIZATION</w:t>
            </w:r>
          </w:p>
          <w:p>
            <w:pPr>
              <w:spacing w:before="0" w:after="20"/>
              <w:jc w:val="center"/>
            </w:pPr>
            <w:r>
              <w:rPr>
                <w:rFonts w:ascii="Calibri" w:hAnsi="Calibri"/>
                <w:b/>
                <w:color w:val="0F766E"/>
                <w:sz w:val="38"/>
              </w:rPr>
              <w:t>63.5%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64748B"/>
                <w:sz w:val="13"/>
              </w:rPr>
              <w:t>21.95 m³ packed / 34.56 m³ truck</w:t>
            </w:r>
          </w:p>
        </w:tc>
        <w:tc>
          <w:tcPr>
            <w:tcW w:type="dxa" w:w="2614"/>
            <w:vAlign w:val="center"/>
            <w:shd w:val="clear" w:fill="FFF4E5"/>
          </w:tcPr>
          <w:p>
            <w:pPr>
              <w:spacing w:before="0" w:after="20"/>
              <w:jc w:val="center"/>
            </w:pPr>
            <w:r>
              <w:rPr>
                <w:rFonts w:ascii="Calibri" w:hAnsi="Calibri"/>
                <w:b/>
                <w:color w:val="64748B"/>
                <w:sz w:val="14"/>
              </w:rPr>
              <w:t>FRAGILE CARGO</w:t>
            </w:r>
          </w:p>
          <w:p>
            <w:pPr>
              <w:spacing w:before="0" w:after="20"/>
              <w:jc w:val="center"/>
            </w:pPr>
            <w:r>
              <w:rPr>
                <w:rFonts w:ascii="Calibri" w:hAnsi="Calibri"/>
                <w:b/>
                <w:color w:val="B45309"/>
                <w:sz w:val="38"/>
              </w:rPr>
              <w:t>36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64748B"/>
                <w:sz w:val="13"/>
              </w:rPr>
              <w:t>Amount of objects requiring care</w:t>
            </w:r>
          </w:p>
        </w:tc>
      </w:tr>
    </w:tbl>
    <w:p>
      <w:pPr>
        <w:spacing w:before="280" w:after="20"/>
        <w:jc w:val="center"/>
      </w:pPr>
      <w:r>
        <w:rPr>
          <w:rFonts w:ascii="Calibri" w:hAnsi="Calibri"/>
          <w:b/>
          <w:color w:val="12233F"/>
          <w:sz w:val="26"/>
        </w:rPr>
        <w:t>CURRENT LOAD STATE</w:t>
      </w:r>
    </w:p>
    <w:p>
      <w:pPr>
        <w:spacing w:before="0" w:after="20"/>
        <w:jc w:val="center"/>
      </w:pPr>
      <w:r>
        <w:rPr>
          <w:rFonts w:ascii="Calibri" w:hAnsi="Calibri"/>
          <w:b/>
          <w:color w:val="0F766E"/>
          <w:sz w:val="38"/>
        </w:rPr>
        <w:t>FINISHED</w:t>
      </w:r>
    </w:p>
    <w:p>
      <w:pPr>
        <w:spacing w:before="0" w:after="40"/>
        <w:jc w:val="center"/>
      </w:pPr>
      <w:r>
        <w:rPr>
          <w:rFonts w:ascii="Calibri" w:hAnsi="Calibri"/>
          <w:b w:val="0"/>
          <w:color w:val="64748B"/>
          <w:sz w:val="16"/>
        </w:rPr>
        <w:t>Sequence priority: ON</w:t>
      </w:r>
    </w:p>
    <w:p>
      <w:pPr>
        <w:spacing w:before="280" w:after="20"/>
        <w:jc w:val="center"/>
      </w:pPr>
      <w:r>
        <w:rPr>
          <w:rFonts w:ascii="Calibri" w:hAnsi="Calibri"/>
          <w:b/>
          <w:color w:val="12233F"/>
          <w:sz w:val="26"/>
        </w:rPr>
        <w:t>TRUCK PROFILE</w:t>
      </w:r>
    </w:p>
    <w:p>
      <w:pPr>
        <w:spacing w:before="0" w:after="20"/>
        <w:jc w:val="center"/>
      </w:pPr>
      <w:r>
        <w:rPr>
          <w:rFonts w:ascii="Calibri" w:hAnsi="Calibri"/>
          <w:b w:val="0"/>
          <w:color w:val="64748B"/>
          <w:sz w:val="16"/>
        </w:rPr>
        <w:t xml:space="preserve">Truck ID:  </w:t>
      </w:r>
      <w:r>
        <w:rPr>
          <w:rFonts w:ascii="Calibri" w:hAnsi="Calibri"/>
          <w:b/>
          <w:color w:val="12233F"/>
          <w:sz w:val="16"/>
        </w:rPr>
        <w:t>Truck-2</w:t>
      </w:r>
    </w:p>
    <w:p>
      <w:pPr>
        <w:spacing w:before="0" w:after="20"/>
        <w:jc w:val="center"/>
      </w:pPr>
      <w:r>
        <w:rPr>
          <w:rFonts w:ascii="Calibri" w:hAnsi="Calibri"/>
          <w:b w:val="0"/>
          <w:color w:val="64748B"/>
          <w:sz w:val="16"/>
        </w:rPr>
        <w:t xml:space="preserve">Internal dimensions:  </w:t>
      </w:r>
      <w:r>
        <w:rPr>
          <w:rFonts w:ascii="Calibri" w:hAnsi="Calibri"/>
          <w:b/>
          <w:color w:val="12233F"/>
          <w:sz w:val="16"/>
        </w:rPr>
        <w:t>2.4 × 2.4 × 6.0 m</w:t>
      </w:r>
    </w:p>
    <w:p>
      <w:pPr>
        <w:spacing w:before="0" w:after="20"/>
        <w:jc w:val="center"/>
      </w:pPr>
      <w:r>
        <w:rPr>
          <w:rFonts w:ascii="Calibri" w:hAnsi="Calibri"/>
          <w:b w:val="0"/>
          <w:color w:val="64748B"/>
          <w:sz w:val="16"/>
        </w:rPr>
        <w:t xml:space="preserve">Packed cargo volume:  </w:t>
      </w:r>
      <w:r>
        <w:rPr>
          <w:rFonts w:ascii="Calibri" w:hAnsi="Calibri"/>
          <w:b/>
          <w:color w:val="12233F"/>
          <w:sz w:val="16"/>
        </w:rPr>
        <w:t>21.95 m³</w:t>
      </w:r>
    </w:p>
    <w:p>
      <w:pPr>
        <w:spacing w:before="0" w:after="20"/>
        <w:jc w:val="center"/>
      </w:pPr>
      <w:r>
        <w:rPr>
          <w:rFonts w:ascii="Calibri" w:hAnsi="Calibri"/>
          <w:b w:val="0"/>
          <w:color w:val="64748B"/>
          <w:sz w:val="16"/>
        </w:rPr>
        <w:t xml:space="preserve">Packed cargo weight:  </w:t>
      </w:r>
      <w:r>
        <w:rPr>
          <w:rFonts w:ascii="Calibri" w:hAnsi="Calibri"/>
          <w:b/>
          <w:color w:val="12233F"/>
          <w:sz w:val="16"/>
        </w:rPr>
        <w:t>2,593 kg</w:t>
      </w:r>
    </w:p>
    <w:p>
      <w:pPr>
        <w:spacing w:before="280" w:after="20"/>
        <w:jc w:val="center"/>
      </w:pPr>
      <w:r>
        <w:rPr>
          <w:rFonts w:ascii="Calibri" w:hAnsi="Calibri"/>
          <w:b/>
          <w:color w:val="12233F"/>
          <w:sz w:val="26"/>
        </w:rPr>
        <w:t>VOLUMETRIC UTILIZATION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890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89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  <w:jc w:val="center"/>
      </w:pPr>
      <w:r>
        <w:rPr>
          <w:rFonts w:ascii="Calibri" w:hAnsi="Calibri"/>
          <w:b/>
          <w:color w:val="0F766E"/>
          <w:sz w:val="16"/>
        </w:rPr>
        <w:t>63.5%</w:t>
      </w:r>
      <w:r>
        <w:rPr>
          <w:rFonts w:ascii="Calibri" w:hAnsi="Calibri"/>
          <w:b w:val="0"/>
          <w:color w:val="64748B"/>
          <w:sz w:val="16"/>
        </w:rPr>
        <w:t xml:space="preserve"> occupied  •  </w:t>
      </w:r>
      <w:r>
        <w:rPr>
          <w:rFonts w:ascii="Calibri" w:hAnsi="Calibri"/>
          <w:b/>
          <w:color w:val="64748B"/>
          <w:sz w:val="16"/>
        </w:rPr>
        <w:t>36.5%</w:t>
      </w:r>
      <w:r>
        <w:rPr>
          <w:rFonts w:ascii="Calibri" w:hAnsi="Calibri"/>
          <w:b w:val="0"/>
          <w:color w:val="64748B"/>
          <w:sz w:val="16"/>
        </w:rPr>
        <w:t xml:space="preserve"> nominal volumetric headroom</w:t>
      </w:r>
    </w:p>
    <w:p>
      <w:pPr>
        <w:spacing w:before="280" w:after="20"/>
        <w:jc w:val="center"/>
      </w:pPr>
      <w:r>
        <w:rPr>
          <w:rFonts w:ascii="Calibri" w:hAnsi="Calibri"/>
          <w:b/>
          <w:color w:val="12233F"/>
          <w:sz w:val="26"/>
        </w:rPr>
        <w:t>CARGO MANIFEST</w:t>
      </w:r>
    </w:p>
    <w:p>
      <w:pPr>
        <w:spacing w:before="0" w:after="120"/>
        <w:jc w:val="center"/>
      </w:pPr>
      <w:r>
        <w:rPr>
          <w:rFonts w:ascii="Calibri" w:hAnsi="Calibri"/>
          <w:b w:val="0"/>
          <w:color w:val="64748B"/>
          <w:sz w:val="15"/>
        </w:rPr>
        <w:t>Destination sequence, package quantities, weight, and fragile flags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E8EAED"/>
          <w:left w:val="single" w:sz="4" w:color="E8EAED"/>
          <w:bottom w:val="single" w:sz="4" w:color="E8EAED"/>
          <w:right w:val="single" w:sz="4" w:color="E8EAED"/>
          <w:insideH w:val="single" w:sz="4" w:color="E8EAED"/>
          <w:insideV w:val="single" w:sz="4" w:color="E8EAED"/>
        </w:tblBorders>
        <w:tblLayout w:type="fixed"/>
        <w:tblCellMar>
          <w:top w:w="40" w:type="dxa"/>
          <w:bottom w:w="40" w:type="dxa"/>
          <w:left w:w="60" w:type="dxa"/>
          <w:right w:w="60" w:type="dxa"/>
        </w:tblCellMar>
        <w:tblLayout w:type="fixed"/>
      </w:tblPr>
      <w:tblGrid>
        <w:gridCol w:w="1307"/>
        <w:gridCol w:w="1307"/>
        <w:gridCol w:w="1307"/>
        <w:gridCol w:w="1307"/>
        <w:gridCol w:w="1307"/>
        <w:gridCol w:w="1307"/>
        <w:gridCol w:w="1307"/>
        <w:gridCol w:w="1307"/>
      </w:tblGrid>
      <w:tr>
        <w:tc>
          <w:tcPr>
            <w:tcW w:type="dxa" w:w="792"/>
            <w:shd w:val="clear" w:fill="12233F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Sequence</w:t>
            </w:r>
          </w:p>
        </w:tc>
        <w:tc>
          <w:tcPr>
            <w:tcW w:type="dxa" w:w="1152"/>
            <w:shd w:val="clear" w:fill="12233F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Package ID</w:t>
            </w:r>
          </w:p>
        </w:tc>
        <w:tc>
          <w:tcPr>
            <w:tcW w:type="dxa" w:w="3542"/>
            <w:shd w:val="clear" w:fill="12233F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Description</w:t>
            </w:r>
          </w:p>
        </w:tc>
        <w:tc>
          <w:tcPr>
            <w:tcW w:type="dxa" w:w="893"/>
            <w:shd w:val="clear" w:fill="12233F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Manifest</w:t>
            </w:r>
          </w:p>
        </w:tc>
        <w:tc>
          <w:tcPr>
            <w:tcW w:type="dxa" w:w="864"/>
            <w:shd w:val="clear" w:fill="12233F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Packed</w:t>
            </w:r>
          </w:p>
        </w:tc>
        <w:tc>
          <w:tcPr>
            <w:tcW w:type="dxa" w:w="1123"/>
            <w:shd w:val="clear" w:fill="12233F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Weight/Unit</w:t>
            </w:r>
          </w:p>
        </w:tc>
        <w:tc>
          <w:tcPr>
            <w:tcW w:type="dxa" w:w="1224"/>
            <w:shd w:val="clear" w:fill="12233F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Destination</w:t>
            </w:r>
          </w:p>
        </w:tc>
        <w:tc>
          <w:tcPr>
            <w:tcW w:type="dxa" w:w="864"/>
            <w:shd w:val="clear" w:fill="12233F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Fragile</w:t>
            </w:r>
          </w:p>
        </w:tc>
      </w:tr>
      <w:tr>
        <w:tc>
          <w:tcPr>
            <w:tcW w:type="dxa" w:w="792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1</w:t>
            </w:r>
          </w:p>
        </w:tc>
        <w:tc>
          <w:tcPr>
            <w:tcW w:type="dxa" w:w="1152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PKG-2001</w:t>
            </w:r>
          </w:p>
        </w:tc>
        <w:tc>
          <w:tcPr>
            <w:tcW w:type="dxa" w:w="3542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Standard Shipping Cartons (Electronics)</w:t>
            </w:r>
          </w:p>
        </w:tc>
        <w:tc>
          <w:tcPr>
            <w:tcW w:type="dxa" w:w="893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50</w:t>
            </w:r>
          </w:p>
        </w:tc>
        <w:tc>
          <w:tcPr>
            <w:tcW w:type="dxa" w:w="864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50</w:t>
            </w:r>
          </w:p>
        </w:tc>
        <w:tc>
          <w:tcPr>
            <w:tcW w:type="dxa" w:w="1123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8.5 kg</w:t>
            </w:r>
          </w:p>
        </w:tc>
        <w:tc>
          <w:tcPr>
            <w:tcW w:type="dxa" w:w="1224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Boston</w:t>
            </w:r>
          </w:p>
        </w:tc>
        <w:tc>
          <w:tcPr>
            <w:tcW w:type="dxa" w:w="864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—</w:t>
            </w:r>
          </w:p>
        </w:tc>
      </w:tr>
      <w:tr>
        <w:tc>
          <w:tcPr>
            <w:tcW w:type="dxa" w:w="792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2</w:t>
            </w:r>
          </w:p>
        </w:tc>
        <w:tc>
          <w:tcPr>
            <w:tcW w:type="dxa" w:w="1152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PKG-2002</w:t>
            </w:r>
          </w:p>
        </w:tc>
        <w:tc>
          <w:tcPr>
            <w:tcW w:type="dxa" w:w="3542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Large Home Appliance Crates</w:t>
            </w:r>
          </w:p>
        </w:tc>
        <w:tc>
          <w:tcPr>
            <w:tcW w:type="dxa" w:w="893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7</w:t>
            </w:r>
          </w:p>
        </w:tc>
        <w:tc>
          <w:tcPr>
            <w:tcW w:type="dxa" w:w="864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3</w:t>
            </w:r>
          </w:p>
        </w:tc>
        <w:tc>
          <w:tcPr>
            <w:tcW w:type="dxa" w:w="1123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45 kg</w:t>
            </w:r>
          </w:p>
        </w:tc>
        <w:tc>
          <w:tcPr>
            <w:tcW w:type="dxa" w:w="1224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Atlanta</w:t>
            </w:r>
          </w:p>
        </w:tc>
        <w:tc>
          <w:tcPr>
            <w:tcW w:type="dxa" w:w="864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B45309"/>
                <w:sz w:val="15"/>
              </w:rPr>
              <w:t>Yes</w:t>
            </w:r>
          </w:p>
        </w:tc>
      </w:tr>
      <w:tr>
        <w:tc>
          <w:tcPr>
            <w:tcW w:type="dxa" w:w="792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3</w:t>
            </w:r>
          </w:p>
        </w:tc>
        <w:tc>
          <w:tcPr>
            <w:tcW w:type="dxa" w:w="1152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PKG-2003</w:t>
            </w:r>
          </w:p>
        </w:tc>
        <w:tc>
          <w:tcPr>
            <w:tcW w:type="dxa" w:w="3542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Medium Storage Boxes (Apparel)</w:t>
            </w:r>
          </w:p>
        </w:tc>
        <w:tc>
          <w:tcPr>
            <w:tcW w:type="dxa" w:w="893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61</w:t>
            </w:r>
          </w:p>
        </w:tc>
        <w:tc>
          <w:tcPr>
            <w:tcW w:type="dxa" w:w="864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61</w:t>
            </w:r>
          </w:p>
        </w:tc>
        <w:tc>
          <w:tcPr>
            <w:tcW w:type="dxa" w:w="1123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10 kg</w:t>
            </w:r>
          </w:p>
        </w:tc>
        <w:tc>
          <w:tcPr>
            <w:tcW w:type="dxa" w:w="1224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Phoenix</w:t>
            </w:r>
          </w:p>
        </w:tc>
        <w:tc>
          <w:tcPr>
            <w:tcW w:type="dxa" w:w="864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—</w:t>
            </w:r>
          </w:p>
        </w:tc>
      </w:tr>
      <w:tr>
        <w:tc>
          <w:tcPr>
            <w:tcW w:type="dxa" w:w="792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4</w:t>
            </w:r>
          </w:p>
        </w:tc>
        <w:tc>
          <w:tcPr>
            <w:tcW w:type="dxa" w:w="1152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PKG-2004</w:t>
            </w:r>
          </w:p>
        </w:tc>
        <w:tc>
          <w:tcPr>
            <w:tcW w:type="dxa" w:w="3542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Flat-Pack Furniture Cartons</w:t>
            </w:r>
          </w:p>
        </w:tc>
        <w:tc>
          <w:tcPr>
            <w:tcW w:type="dxa" w:w="893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13</w:t>
            </w:r>
          </w:p>
        </w:tc>
        <w:tc>
          <w:tcPr>
            <w:tcW w:type="dxa" w:w="864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13</w:t>
            </w:r>
          </w:p>
        </w:tc>
        <w:tc>
          <w:tcPr>
            <w:tcW w:type="dxa" w:w="1123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28 kg</w:t>
            </w:r>
          </w:p>
        </w:tc>
        <w:tc>
          <w:tcPr>
            <w:tcW w:type="dxa" w:w="1224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Portland</w:t>
            </w:r>
          </w:p>
        </w:tc>
        <w:tc>
          <w:tcPr>
            <w:tcW w:type="dxa" w:w="864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—</w:t>
            </w:r>
          </w:p>
        </w:tc>
      </w:tr>
      <w:tr>
        <w:tc>
          <w:tcPr>
            <w:tcW w:type="dxa" w:w="792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5</w:t>
            </w:r>
          </w:p>
        </w:tc>
        <w:tc>
          <w:tcPr>
            <w:tcW w:type="dxa" w:w="1152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PKG-2005</w:t>
            </w:r>
          </w:p>
        </w:tc>
        <w:tc>
          <w:tcPr>
            <w:tcW w:type="dxa" w:w="3542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Glassware &amp; Ceramic Cargo</w:t>
            </w:r>
          </w:p>
        </w:tc>
        <w:tc>
          <w:tcPr>
            <w:tcW w:type="dxa" w:w="893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19</w:t>
            </w:r>
          </w:p>
        </w:tc>
        <w:tc>
          <w:tcPr>
            <w:tcW w:type="dxa" w:w="864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19</w:t>
            </w:r>
          </w:p>
        </w:tc>
        <w:tc>
          <w:tcPr>
            <w:tcW w:type="dxa" w:w="1123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14 kg</w:t>
            </w:r>
          </w:p>
        </w:tc>
        <w:tc>
          <w:tcPr>
            <w:tcW w:type="dxa" w:w="1224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Austin</w:t>
            </w:r>
          </w:p>
        </w:tc>
        <w:tc>
          <w:tcPr>
            <w:tcW w:type="dxa" w:w="864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B45309"/>
                <w:sz w:val="15"/>
              </w:rPr>
              <w:t>Yes</w:t>
            </w:r>
          </w:p>
        </w:tc>
      </w:tr>
      <w:tr>
        <w:tc>
          <w:tcPr>
            <w:tcW w:type="dxa" w:w="792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6</w:t>
            </w:r>
          </w:p>
        </w:tc>
        <w:tc>
          <w:tcPr>
            <w:tcW w:type="dxa" w:w="1152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PKG-2006</w:t>
            </w:r>
          </w:p>
        </w:tc>
        <w:tc>
          <w:tcPr>
            <w:tcW w:type="dxa" w:w="3542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Industrial Tool Cases</w:t>
            </w:r>
          </w:p>
        </w:tc>
        <w:tc>
          <w:tcPr>
            <w:tcW w:type="dxa" w:w="893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14</w:t>
            </w:r>
          </w:p>
        </w:tc>
        <w:tc>
          <w:tcPr>
            <w:tcW w:type="dxa" w:w="864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14</w:t>
            </w:r>
          </w:p>
        </w:tc>
        <w:tc>
          <w:tcPr>
            <w:tcW w:type="dxa" w:w="1123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22 kg</w:t>
            </w:r>
          </w:p>
        </w:tc>
        <w:tc>
          <w:tcPr>
            <w:tcW w:type="dxa" w:w="1224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Nashville</w:t>
            </w:r>
          </w:p>
        </w:tc>
        <w:tc>
          <w:tcPr>
            <w:tcW w:type="dxa" w:w="864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—</w:t>
            </w:r>
          </w:p>
        </w:tc>
      </w:tr>
      <w:tr>
        <w:tc>
          <w:tcPr>
            <w:tcW w:type="dxa" w:w="792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7</w:t>
            </w:r>
          </w:p>
        </w:tc>
        <w:tc>
          <w:tcPr>
            <w:tcW w:type="dxa" w:w="1152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PKG-2007</w:t>
            </w:r>
          </w:p>
        </w:tc>
        <w:tc>
          <w:tcPr>
            <w:tcW w:type="dxa" w:w="3542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Bulk Office Paper Trays</w:t>
            </w:r>
          </w:p>
        </w:tc>
        <w:tc>
          <w:tcPr>
            <w:tcW w:type="dxa" w:w="893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24</w:t>
            </w:r>
          </w:p>
        </w:tc>
        <w:tc>
          <w:tcPr>
            <w:tcW w:type="dxa" w:w="864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24</w:t>
            </w:r>
          </w:p>
        </w:tc>
        <w:tc>
          <w:tcPr>
            <w:tcW w:type="dxa" w:w="1123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12.5 kg</w:t>
            </w:r>
          </w:p>
        </w:tc>
        <w:tc>
          <w:tcPr>
            <w:tcW w:type="dxa" w:w="1224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Vegas</w:t>
            </w:r>
          </w:p>
        </w:tc>
        <w:tc>
          <w:tcPr>
            <w:tcW w:type="dxa" w:w="864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—</w:t>
            </w:r>
          </w:p>
        </w:tc>
      </w:tr>
      <w:tr>
        <w:tc>
          <w:tcPr>
            <w:tcW w:type="dxa" w:w="792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8</w:t>
            </w:r>
          </w:p>
        </w:tc>
        <w:tc>
          <w:tcPr>
            <w:tcW w:type="dxa" w:w="1152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PKG-2008</w:t>
            </w:r>
          </w:p>
        </w:tc>
        <w:tc>
          <w:tcPr>
            <w:tcW w:type="dxa" w:w="3542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Precision LED Panels</w:t>
            </w:r>
          </w:p>
        </w:tc>
        <w:tc>
          <w:tcPr>
            <w:tcW w:type="dxa" w:w="893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10</w:t>
            </w:r>
          </w:p>
        </w:tc>
        <w:tc>
          <w:tcPr>
            <w:tcW w:type="dxa" w:w="864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10</w:t>
            </w:r>
          </w:p>
        </w:tc>
        <w:tc>
          <w:tcPr>
            <w:tcW w:type="dxa" w:w="1123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18.5 kg</w:t>
            </w:r>
          </w:p>
        </w:tc>
        <w:tc>
          <w:tcPr>
            <w:tcW w:type="dxa" w:w="1224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Charlotte</w:t>
            </w:r>
          </w:p>
        </w:tc>
        <w:tc>
          <w:tcPr>
            <w:tcW w:type="dxa" w:w="864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B45309"/>
                <w:sz w:val="15"/>
              </w:rPr>
              <w:t>Yes</w:t>
            </w:r>
          </w:p>
        </w:tc>
      </w:tr>
    </w:tbl>
    <w:p>
      <w:pPr>
        <w:spacing w:before="280" w:after="20"/>
        <w:jc w:val="center"/>
      </w:pPr>
      <w:r>
        <w:rPr>
          <w:rFonts w:ascii="Calibri" w:hAnsi="Calibri"/>
          <w:b/>
          <w:color w:val="12233F"/>
          <w:sz w:val="26"/>
        </w:rPr>
        <w:t>REJECTED / NOT LOADED PACKAGES</w:t>
      </w:r>
    </w:p>
    <w:p>
      <w:pPr>
        <w:spacing w:before="0" w:after="120"/>
        <w:jc w:val="center"/>
      </w:pPr>
      <w:r>
        <w:rPr>
          <w:rFonts w:ascii="Calibri" w:hAnsi="Calibri"/>
          <w:b w:val="0"/>
          <w:color w:val="64748B"/>
          <w:sz w:val="15"/>
        </w:rPr>
        <w:t>Manifest packages refused by truck constraints (weight, footprint stability, or space)</w:t>
      </w:r>
    </w:p>
    <w:p>
      <w:pPr>
        <w:spacing w:before="0" w:after="40"/>
        <w:jc w:val="center"/>
      </w:pPr>
      <w:r>
        <w:rPr>
          <w:rFonts w:ascii="Calibri" w:hAnsi="Calibri"/>
          <w:b w:val="0"/>
          <w:color w:val="64748B"/>
          <w:sz w:val="16"/>
        </w:rPr>
        <w:t>All manifest items packed and loaded.</w:t>
      </w:r>
    </w:p>
    <w:p>
      <w:pPr>
        <w:spacing w:before="280" w:after="20"/>
        <w:jc w:val="center"/>
      </w:pPr>
      <w:r>
        <w:rPr>
          <w:rFonts w:ascii="Calibri" w:hAnsi="Calibri"/>
          <w:b/>
          <w:color w:val="12233F"/>
          <w:sz w:val="26"/>
        </w:rPr>
        <w:t>UNLOADING SEQUENCE</w:t>
      </w:r>
    </w:p>
    <w:p>
      <w:pPr>
        <w:spacing w:before="0" w:after="40"/>
        <w:jc w:val="center"/>
      </w:pPr>
      <w:r>
        <w:rPr>
          <w:rFonts w:ascii="Calibri" w:hAnsi="Calibri"/>
          <w:b/>
          <w:color w:val="12233F"/>
          <w:sz w:val="16"/>
        </w:rPr>
        <w:t>01  Boston</w:t>
      </w:r>
      <w:r>
        <w:rPr>
          <w:rFonts w:ascii="Calibri" w:hAnsi="Calibri"/>
          <w:b/>
          <w:color w:val="0F766E"/>
          <w:sz w:val="16"/>
        </w:rPr>
        <w:t xml:space="preserve">   →   </w:t>
      </w:r>
      <w:r>
        <w:rPr>
          <w:rFonts w:ascii="Calibri" w:hAnsi="Calibri"/>
          <w:b/>
          <w:color w:val="12233F"/>
          <w:sz w:val="16"/>
        </w:rPr>
        <w:t>02  Atlanta</w:t>
      </w:r>
      <w:r>
        <w:rPr>
          <w:rFonts w:ascii="Calibri" w:hAnsi="Calibri"/>
          <w:b/>
          <w:color w:val="0F766E"/>
          <w:sz w:val="16"/>
        </w:rPr>
        <w:t xml:space="preserve">   →   </w:t>
      </w:r>
      <w:r>
        <w:rPr>
          <w:rFonts w:ascii="Calibri" w:hAnsi="Calibri"/>
          <w:b/>
          <w:color w:val="12233F"/>
          <w:sz w:val="16"/>
        </w:rPr>
        <w:t>03  Phoenix</w:t>
      </w:r>
      <w:r>
        <w:rPr>
          <w:rFonts w:ascii="Calibri" w:hAnsi="Calibri"/>
          <w:b/>
          <w:color w:val="0F766E"/>
          <w:sz w:val="16"/>
        </w:rPr>
        <w:t xml:space="preserve">   →   </w:t>
      </w:r>
      <w:r>
        <w:rPr>
          <w:rFonts w:ascii="Calibri" w:hAnsi="Calibri"/>
          <w:b/>
          <w:color w:val="12233F"/>
          <w:sz w:val="16"/>
        </w:rPr>
        <w:t>04  Portland</w:t>
      </w:r>
      <w:r>
        <w:rPr>
          <w:rFonts w:ascii="Calibri" w:hAnsi="Calibri"/>
          <w:b/>
          <w:color w:val="0F766E"/>
          <w:sz w:val="16"/>
        </w:rPr>
        <w:t xml:space="preserve">   →   </w:t>
      </w:r>
      <w:r>
        <w:rPr>
          <w:rFonts w:ascii="Calibri" w:hAnsi="Calibri"/>
          <w:b/>
          <w:color w:val="12233F"/>
          <w:sz w:val="16"/>
        </w:rPr>
        <w:t>05  Austin</w:t>
      </w:r>
      <w:r>
        <w:rPr>
          <w:rFonts w:ascii="Calibri" w:hAnsi="Calibri"/>
          <w:b/>
          <w:color w:val="0F766E"/>
          <w:sz w:val="16"/>
        </w:rPr>
        <w:t xml:space="preserve">   →   </w:t>
      </w:r>
      <w:r>
        <w:rPr>
          <w:rFonts w:ascii="Calibri" w:hAnsi="Calibri"/>
          <w:b/>
          <w:color w:val="12233F"/>
          <w:sz w:val="16"/>
        </w:rPr>
        <w:t>06  Nashville</w:t>
      </w:r>
      <w:r>
        <w:rPr>
          <w:rFonts w:ascii="Calibri" w:hAnsi="Calibri"/>
          <w:b/>
          <w:color w:val="0F766E"/>
          <w:sz w:val="16"/>
        </w:rPr>
        <w:t xml:space="preserve">   →   </w:t>
      </w:r>
      <w:r>
        <w:rPr>
          <w:rFonts w:ascii="Calibri" w:hAnsi="Calibri"/>
          <w:b/>
          <w:color w:val="12233F"/>
          <w:sz w:val="16"/>
        </w:rPr>
        <w:t>07  Vegas</w:t>
      </w:r>
      <w:r>
        <w:rPr>
          <w:rFonts w:ascii="Calibri" w:hAnsi="Calibri"/>
          <w:b/>
          <w:color w:val="0F766E"/>
          <w:sz w:val="16"/>
        </w:rPr>
        <w:t xml:space="preserve">   →   </w:t>
      </w:r>
      <w:r>
        <w:rPr>
          <w:rFonts w:ascii="Calibri" w:hAnsi="Calibri"/>
          <w:b/>
          <w:color w:val="12233F"/>
          <w:sz w:val="16"/>
        </w:rPr>
        <w:t>08  Charlotte</w:t>
      </w:r>
    </w:p>
    <w:sectPr w:rsidR="00FC693F" w:rsidRPr="0006063C" w:rsidSect="00034616"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