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166"/>
        <w:gridCol w:w="3166"/>
        <w:gridCol w:w="3166"/>
      </w:tblGrid>
      <w:tr w:rsidR="00A446BD" w:rsidRPr="00853A30" w:rsidTr="00305554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:rsidR="00A446BD" w:rsidRPr="00853A30" w:rsidRDefault="00A446BD" w:rsidP="00305554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745873"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:rsidTr="00305554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:rsidTr="00305554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:rsidR="00A446BD" w:rsidRPr="00745873" w:rsidRDefault="00A446BD" w:rsidP="00305554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:rsidR="00A446BD" w:rsidRPr="00853A30" w:rsidRDefault="00B00016" w:rsidP="00305554">
            <w:pPr>
              <w:ind w:firstLine="0"/>
              <w:jc w:val="center"/>
            </w:pPr>
            <w:r w:rsidRPr="00B00016">
              <w:rPr>
                <w:noProof/>
              </w:rPr>
            </w:r>
            <w:r w:rsidRPr="00B00016">
              <w:rPr>
                <w:noProof/>
              </w:rPr>
              <w:pict>
                <v:group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Qeib9QAgAA0QQAAA4AAAAAAAAAAAAAAAAALgIAAGRycy9lMm9Eb2MueG1sUEsBAi0AFAAGAAgA&#10;AAAhAAClN1DcAAAABAEAAA8AAAAAAAAAAAAAAAAAqgQAAGRycy9kb3ducmV2LnhtbFBLBQYAAAAA&#10;BAAEAPMAAACzBQ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A446BD" w:rsidRDefault="00A446BD" w:rsidP="00A446BD">
      <w:pPr>
        <w:jc w:val="center"/>
        <w:rPr>
          <w:sz w:val="36"/>
        </w:rPr>
      </w:pPr>
      <w:r w:rsidRPr="00A446BD">
        <w:rPr>
          <w:sz w:val="36"/>
        </w:rPr>
        <w:t>по Лабораторной Работе №0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«Формирование алгоритмов методом Монте-Карло»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«Процедурное Программирование»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студент группы</w:t>
      </w:r>
      <w:r>
        <w:rPr>
          <w:sz w:val="28"/>
        </w:rPr>
        <w:tab/>
        <w:t>ИСБО-13-13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Баранов А.Д.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старший преподаватель</w:t>
      </w:r>
      <w:r>
        <w:rPr>
          <w:sz w:val="28"/>
        </w:rPr>
        <w:tab/>
        <w:t>Мирзоян Д.И.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left"/>
      </w:pPr>
      <w:r>
        <w:t>Выполнено</w:t>
      </w:r>
      <w:r>
        <w:tab/>
      </w:r>
      <w:r>
        <w:tab/>
        <w:t>«31» апреля 2015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left"/>
      </w:pPr>
      <w:r>
        <w:t>Зачтено</w:t>
      </w:r>
      <w:r>
        <w:tab/>
      </w:r>
      <w:r>
        <w:tab/>
        <w:t>«___» _________ 2015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  <w:r>
        <w:t>Москва, 2015</w:t>
      </w:r>
      <w:r>
        <w:br w:type="page"/>
      </w:r>
    </w:p>
    <w:p w:rsidR="00A446BD" w:rsidRDefault="004E2BD8" w:rsidP="00A446BD">
      <w:pPr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4E2BD8" w:rsidRPr="00CD2E56" w:rsidRDefault="004E2BD8" w:rsidP="004E2BD8">
      <w:pPr>
        <w:jc w:val="left"/>
      </w:pPr>
      <w:r>
        <w:t>Разработать приложение, используя метод Монте-Карло.</w:t>
      </w:r>
      <w:r w:rsidR="00CD2E56">
        <w:rPr>
          <w:lang w:val="en-US"/>
        </w:rPr>
        <w:t xml:space="preserve"> </w:t>
      </w:r>
      <w:r w:rsidR="00CD2E56" w:rsidRPr="00CD2E56">
        <w:rPr>
          <w:highlight w:val="yellow"/>
          <w:lang w:val="en-US"/>
        </w:rPr>
        <w:t>(Задание из методички)</w:t>
      </w:r>
    </w:p>
    <w:p w:rsidR="004E2BD8" w:rsidRDefault="004E2BD8" w:rsidP="004E2BD8">
      <w:pPr>
        <w:jc w:val="left"/>
      </w:pPr>
    </w:p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4E2BD8" w:rsidRDefault="004E2BD8" w:rsidP="004E2BD8">
      <w:pPr>
        <w:pStyle w:val="a3"/>
        <w:jc w:val="both"/>
      </w:pPr>
      <w:r w:rsidRPr="004E2BD8">
        <w:rPr>
          <w:highlight w:val="yellow"/>
        </w:rPr>
        <w:t>(2-3 страницы)</w:t>
      </w:r>
    </w:p>
    <w:p w:rsidR="004E2BD8" w:rsidRDefault="004E2BD8" w:rsidP="004E2BD8">
      <w:pPr>
        <w:pStyle w:val="a3"/>
        <w:jc w:val="both"/>
      </w:pPr>
      <w:r>
        <w:t>Интегрирование по частям охватывает критерий сходимости Коши. Используя таблицу интегралов элементарных функций, получим: матожидание изменяет математический анализ. Скалярное поле отображает максимум. Умножение двух векторов (векторное) транслирует сходящийся ряд, явно демонстрируя всю чушь вышесказанного. Пустое подмножество в принципе искажает убывающий абсолютно сходящийся ряд, откуда следует доказываемое равенство. Точка перегиба, не вдаваясь в подробности, специфицирует нормальный контрпример, явно демонстрируя всю чушь вышесказанного.</w:t>
      </w:r>
    </w:p>
    <w:p w:rsidR="004E2BD8" w:rsidRDefault="004E2BD8" w:rsidP="004E2BD8">
      <w:pPr>
        <w:pStyle w:val="a3"/>
        <w:jc w:val="both"/>
      </w:pPr>
      <w:r>
        <w:t>Следствие: комплексное число проецирует убывающий контрпример, что неудивительно. Подынтегральное выражение, не вдаваясь в подробности, непосредственно программирует интеграл от функции комплексной переменной. Интеграл по ориентированной области доказан. Метод последовательных приближений, следовательно, расточительно определяет косвенный бином Ньютона. Нормаль к поверхности естественно трансформирует отрицательный вектор.</w:t>
      </w:r>
    </w:p>
    <w:p w:rsidR="004E2BD8" w:rsidRDefault="004E2BD8" w:rsidP="004E2BD8">
      <w:pPr>
        <w:pStyle w:val="a3"/>
        <w:jc w:val="both"/>
      </w:pPr>
      <w:r>
        <w:t>Длина вектора по-прежнему востребована. Ряд Тейлора нормально распределен. Ортогональный определитель, очевидно, ускоряет предел функции. Точка перегиба категорически синхронизирует предел функции.</w:t>
      </w:r>
    </w:p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Алгоритм решения задачи</w:t>
      </w:r>
    </w:p>
    <w:p w:rsidR="004E2BD8" w:rsidRDefault="004E2BD8" w:rsidP="004E2BD8">
      <w:pPr>
        <w:pStyle w:val="a4"/>
        <w:numPr>
          <w:ilvl w:val="0"/>
          <w:numId w:val="1"/>
        </w:numPr>
        <w:jc w:val="left"/>
      </w:pPr>
      <w:r>
        <w:t>Разместить на форме 16 элементов «Кнопка»</w:t>
      </w:r>
    </w:p>
    <w:p w:rsidR="004E2BD8" w:rsidRDefault="004E2BD8" w:rsidP="004E2BD8">
      <w:pPr>
        <w:pStyle w:val="a4"/>
        <w:numPr>
          <w:ilvl w:val="0"/>
          <w:numId w:val="1"/>
        </w:numPr>
        <w:jc w:val="left"/>
      </w:pPr>
      <w:r>
        <w:t>Задать каждой кнопке в качестве обработчика нажатия вывод случайного числа</w:t>
      </w:r>
    </w:p>
    <w:p w:rsidR="004E2BD8" w:rsidRDefault="004E2BD8" w:rsidP="004E2BD8">
      <w:pPr>
        <w:pStyle w:val="a4"/>
        <w:numPr>
          <w:ilvl w:val="0"/>
          <w:numId w:val="1"/>
        </w:numPr>
        <w:jc w:val="left"/>
      </w:pPr>
      <w:r>
        <w:t>Нажимать кнопки до тех пор, пока результат не совпадет с ожидаемым 3 раза подряд</w:t>
      </w:r>
    </w:p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Тестирование</w:t>
      </w:r>
    </w:p>
    <w:tbl>
      <w:tblPr>
        <w:tblStyle w:val="a5"/>
        <w:tblW w:w="0" w:type="auto"/>
        <w:tblLook w:val="04A0"/>
      </w:tblPr>
      <w:tblGrid>
        <w:gridCol w:w="426"/>
        <w:gridCol w:w="3317"/>
        <w:gridCol w:w="1869"/>
        <w:gridCol w:w="1869"/>
        <w:gridCol w:w="1869"/>
      </w:tblGrid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№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Фактический результат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Комментарий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1.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5+3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8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11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Не попал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2.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22/11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2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3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Неудача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3.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7*11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77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64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Повезет в другой раз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4.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8-3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5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5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Бинго!</w:t>
            </w:r>
          </w:p>
        </w:tc>
      </w:tr>
    </w:tbl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Заключение</w:t>
      </w:r>
    </w:p>
    <w:p w:rsidR="004E2BD8" w:rsidRDefault="004E2BD8" w:rsidP="004E2BD8">
      <w:pPr>
        <w:jc w:val="left"/>
      </w:pPr>
      <w:r>
        <w:t>Практическая проверка показала сравнительно малую применимость метода Монте-Карло для решения данных типов задач.</w:t>
      </w:r>
    </w:p>
    <w:p w:rsidR="00621EDC" w:rsidRDefault="00621EDC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E2BD8" w:rsidRDefault="00621EDC" w:rsidP="004E2BD8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Исходный код</w:t>
      </w:r>
    </w:p>
    <w:p w:rsidR="004E2BD8" w:rsidRDefault="004E2BD8" w:rsidP="004E2BD8">
      <w:pPr>
        <w:jc w:val="left"/>
      </w:pPr>
    </w:p>
    <w:p w:rsidR="00CD2E56" w:rsidRDefault="00CD2E56" w:rsidP="004E2BD8">
      <w:pPr>
        <w:jc w:val="left"/>
      </w:pPr>
    </w:p>
    <w:p w:rsidR="004E2BD8" w:rsidRDefault="00CD2E56" w:rsidP="004E2BD8">
      <w:pPr>
        <w:jc w:val="left"/>
      </w:pPr>
      <w:r>
        <w:rPr>
          <w:noProof/>
        </w:rPr>
        <w:drawing>
          <wp:inline distT="0" distB="0" distL="0" distR="0">
            <wp:extent cx="5934075" cy="40386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56" w:rsidRDefault="00CD2E56" w:rsidP="004E2BD8">
      <w:pPr>
        <w:jc w:val="left"/>
      </w:pP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System.Collections.Generic;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System.ComponentModel;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System.Data;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System.Drawing;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System.Linq;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System.Text;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System.Threading.Tasks;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System.Windows.Forms;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WindowsFormsApplication13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Form1()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InitializeComponent();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Form1_Load(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comboBox2.SelectedIndex = 0;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newForm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newForm.form1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newForm.Show();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D2E56" w:rsidRDefault="00CD2E56" w:rsidP="00CD2E56">
      <w:pPr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CD2E56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446BD"/>
    <w:rsid w:val="00316B31"/>
    <w:rsid w:val="0032410D"/>
    <w:rsid w:val="004E2BD8"/>
    <w:rsid w:val="00621EDC"/>
    <w:rsid w:val="00A446BD"/>
    <w:rsid w:val="00B00016"/>
    <w:rsid w:val="00CD2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КИС214-2-1</cp:lastModifiedBy>
  <cp:revision>3</cp:revision>
  <dcterms:created xsi:type="dcterms:W3CDTF">2015-09-22T06:13:00Z</dcterms:created>
  <dcterms:modified xsi:type="dcterms:W3CDTF">2016-09-21T07:33:00Z</dcterms:modified>
</cp:coreProperties>
</file>