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br/>
      </w:r>
      <w:r>
        <w:br/>
      </w:r>
      <w:r>
        <w:br/>
      </w:r>
      <w:r>
        <w:br/>
      </w:r>
      <w:r>
        <w:t xml:space="preserve"># Введение</w:t>
      </w:r>
    </w:p>
    <w:p>
      <w:pPr>
        <w:pStyle w:val="Heading2"/>
      </w:pPr>
      <w:bookmarkStart w:id="20" w:name="цели-и-задачи-отчета"/>
      <w:r>
        <w:t xml:space="preserve">Цели и задачи отчета</w:t>
      </w:r>
      <w:bookmarkEnd w:id="20"/>
    </w:p>
    <w:p>
      <w:pPr>
        <w:pStyle w:val="FirstParagraph"/>
      </w:pPr>
      <w:r>
        <w:t xml:space="preserve">Цель данного отчета заключается в предоставлении всестороннего анализа новых отчетов Сбербанка за период с 1 января 2019 года по 1 июня 2024 года. Основные задачи исследования включают:</w:t>
      </w:r>
    </w:p>
    <w:p>
      <w:pPr>
        <w:numPr>
          <w:ilvl w:val="0"/>
          <w:numId w:val="1001"/>
        </w:numPr>
        <w:pStyle w:val="Compact"/>
      </w:pPr>
      <w:r>
        <w:t xml:space="preserve">Оценку финансовых показателей и динамики прибыльности Сбербанка.</w:t>
      </w:r>
    </w:p>
    <w:p>
      <w:pPr>
        <w:numPr>
          <w:ilvl w:val="0"/>
          <w:numId w:val="1001"/>
        </w:numPr>
        <w:pStyle w:val="Compact"/>
      </w:pPr>
      <w:r>
        <w:t xml:space="preserve">Изучение внедренных технологий и инноваций, включая использование искусственного интеллекта.</w:t>
      </w:r>
    </w:p>
    <w:p>
      <w:pPr>
        <w:numPr>
          <w:ilvl w:val="0"/>
          <w:numId w:val="1001"/>
        </w:numPr>
        <w:pStyle w:val="Compact"/>
      </w:pPr>
      <w:r>
        <w:t xml:space="preserve">Анализ влияния новых отчетов на рынок и их значимость для клиентов и инвесторов.</w:t>
      </w:r>
    </w:p>
    <w:p>
      <w:pPr>
        <w:numPr>
          <w:ilvl w:val="0"/>
          <w:numId w:val="1001"/>
        </w:numPr>
        <w:pStyle w:val="Compact"/>
      </w:pPr>
      <w:r>
        <w:t xml:space="preserve">Выявление ключевых событий и их влияние на стратегическое развитие Сбербанка.</w:t>
      </w:r>
    </w:p>
    <w:p>
      <w:pPr>
        <w:numPr>
          <w:ilvl w:val="0"/>
          <w:numId w:val="1001"/>
        </w:numPr>
        <w:pStyle w:val="Compact"/>
      </w:pPr>
      <w:r>
        <w:t xml:space="preserve">Оценка маркетинговых стратегий и их эффективности.</w:t>
      </w:r>
      <w:r>
        <w:t xml:space="preserve"> </w:t>
      </w:r>
      <w:r>
        <w:t xml:space="preserve">Этот отчет охватывает территорию Российской Федерации. Анализ включает как внутренние трансформации банка, так и его влияние на международный рынок.</w:t>
      </w:r>
    </w:p>
    <w:p>
      <w:pPr>
        <w:pStyle w:val="Heading4"/>
      </w:pPr>
      <w:bookmarkStart w:id="21" w:name="методология-исследования"/>
      <w:r>
        <w:t xml:space="preserve">Методология исследования</w:t>
      </w:r>
      <w:bookmarkEnd w:id="21"/>
    </w:p>
    <w:p>
      <w:pPr>
        <w:pStyle w:val="FirstParagraph"/>
      </w:pPr>
      <w:r>
        <w:t xml:space="preserve">Для достижения указанных целей использованы разнообразные методы сбора и анализа данных, включая: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Количественный анализ</w:t>
      </w:r>
      <w:r>
        <w:t xml:space="preserve">: Оценка финансовых показателей и показателей прибыльности Сбербанка по данным отчетности за каждый год в период с 2019 по 2024 год. Основное внимание уделяется показателям чистой прибыли, дивидендных выплат, объема выданных кредитов и роста клиентской базы (Источник:</w:t>
      </w:r>
      <w:r>
        <w:t xml:space="preserve"> </w:t>
      </w:r>
      <w:hyperlink r:id="rId22">
        <w:r>
          <w:rPr>
            <w:rStyle w:val="Hyperlink"/>
          </w:rPr>
          <w:t xml:space="preserve">Финансовые показатели Сбербанка</w:t>
        </w:r>
      </w:hyperlink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Качественный анализ</w:t>
      </w:r>
      <w:r>
        <w:t xml:space="preserve">: Исследование маркетинговых и инновационных инициатив Сбербанка, таких как внедрение искусственного интеллекта для принятия кредитных решений и использование нейросетей для улучшения клиентского опыта (Источник:</w:t>
      </w:r>
      <w:r>
        <w:t xml:space="preserve"> </w:t>
      </w:r>
      <w:hyperlink r:id="rId23">
        <w:r>
          <w:rPr>
            <w:rStyle w:val="Hyperlink"/>
          </w:rPr>
          <w:t xml:space="preserve">Искусственный интеллект в Сбербанке</w:t>
        </w:r>
      </w:hyperlink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Контент-анализ</w:t>
      </w:r>
      <w:r>
        <w:t xml:space="preserve">: Анализ публикаций, пресс-релизов и отчетов для выделения ключевых событий, включая начало выплат дивидендов и создание новых экосистемных проектов (Источник:</w:t>
      </w:r>
      <w:r>
        <w:t xml:space="preserve"> </w:t>
      </w:r>
      <w:hyperlink r:id="rId24">
        <w:r>
          <w:rPr>
            <w:rStyle w:val="Hyperlink"/>
          </w:rPr>
          <w:t xml:space="preserve">Экосистема Сбербанка (SberX)</w:t>
        </w:r>
      </w:hyperlink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Анализ конкурентной среды</w:t>
      </w:r>
      <w:r>
        <w:t xml:space="preserve">: Оценка позиции Сбербанка в мировых рейтингах и его конкурентных преимуществ на российском и международном рынках (Источник:</w:t>
      </w:r>
      <w:r>
        <w:t xml:space="preserve"> </w:t>
      </w:r>
      <w:hyperlink r:id="rId25">
        <w:r>
          <w:rPr>
            <w:rStyle w:val="Hyperlink"/>
          </w:rPr>
          <w:t xml:space="preserve">Анализ маркетинговой деятельности ПАО «Сбербанк России»</w:t>
        </w:r>
      </w:hyperlink>
      <w:r>
        <w:t xml:space="preserve">).</w:t>
      </w:r>
      <w:r>
        <w:t xml:space="preserve"> </w:t>
      </w:r>
      <w:r>
        <w:t xml:space="preserve">Исследование базируется на официальных отчетах и данных, предоставленных Сбербанком и другими авторитетными источниками, что обеспечивает высокую степень надежности и актуальности представленных выводов.</w:t>
      </w:r>
    </w:p>
    <w:p>
      <w:pPr>
        <w:pStyle w:val="Heading2"/>
      </w:pPr>
      <w:bookmarkStart w:id="26" w:name="использованные-источники"/>
      <w:r>
        <w:t xml:space="preserve">Использованные источники</w:t>
      </w:r>
      <w:bookmarkEnd w:id="26"/>
    </w:p>
    <w:p>
      <w:pPr>
        <w:pStyle w:val="FirstParagraph"/>
      </w:pPr>
      <w:r>
        <w:t xml:space="preserve">Для создания этого отчета использованы следующие основные источники:-</w:t>
      </w:r>
      <w:r>
        <w:t xml:space="preserve"> </w:t>
      </w:r>
      <w:hyperlink r:id="rId22">
        <w:r>
          <w:rPr>
            <w:rStyle w:val="Hyperlink"/>
          </w:rPr>
          <w:t xml:space="preserve">Финансовые показатели Сбербанка</w:t>
        </w:r>
      </w:hyperlink>
      <w:r>
        <w:t xml:space="preserve">-</w:t>
      </w:r>
      <w:r>
        <w:t xml:space="preserve"> </w:t>
      </w:r>
      <w:hyperlink r:id="rId23">
        <w:r>
          <w:rPr>
            <w:rStyle w:val="Hyperlink"/>
          </w:rPr>
          <w:t xml:space="preserve">Искусственный интеллект в Сбербанке</w:t>
        </w:r>
      </w:hyperlink>
      <w:r>
        <w:t xml:space="preserve">-</w:t>
      </w:r>
      <w:r>
        <w:t xml:space="preserve"> </w:t>
      </w:r>
      <w:hyperlink r:id="rId24">
        <w:r>
          <w:rPr>
            <w:rStyle w:val="Hyperlink"/>
          </w:rPr>
          <w:t xml:space="preserve">Экосистема Сбербанка (SberX)</w:t>
        </w:r>
      </w:hyperlink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Анализ маркетинговой деятельности ПАО «Сбербанк России»</w:t>
        </w:r>
      </w:hyperlink>
      <w:r>
        <w:br/>
      </w:r>
      <w:r>
        <w:br/>
      </w:r>
      <w:r>
        <w:t xml:space="preserve"># Обзор ниш: Общая характеристика рынка</w:t>
      </w:r>
    </w:p>
    <w:p>
      <w:pPr>
        <w:pStyle w:val="Heading4"/>
      </w:pPr>
      <w:bookmarkStart w:id="27" w:name="введение"/>
      <w:r>
        <w:t xml:space="preserve">Введение</w:t>
      </w:r>
      <w:bookmarkEnd w:id="27"/>
    </w:p>
    <w:p>
      <w:pPr>
        <w:pStyle w:val="FirstParagraph"/>
      </w:pPr>
      <w:r>
        <w:t xml:space="preserve">С 1 января 2019 года по 1 июня 2024 года Сбербанк прошел через значительные трансформации, впровадив новые технологии и инновации в свою работу и представив ряд отчетов, которые отражают эти изменения. Рассмотрим ключевые тенденции и характеристики рынка, на котором функционирует Сбербанк, опираясь на доступные данные.</w:t>
      </w:r>
    </w:p>
    <w:p>
      <w:pPr>
        <w:pStyle w:val="Heading4"/>
      </w:pPr>
      <w:bookmarkStart w:id="28" w:name="X02c3ad887556c366b6680ce4689b592ea90a400"/>
      <w:r>
        <w:t xml:space="preserve">Финансовые показатели и динамика прибыльности</w:t>
      </w:r>
      <w:bookmarkEnd w:id="28"/>
    </w:p>
    <w:p>
      <w:pPr>
        <w:pStyle w:val="FirstParagraph"/>
      </w:pPr>
      <w:r>
        <w:t xml:space="preserve">Одним из главных индикаторов успешной деятельности Сбербанка за этот период были его финансовые результаты. В частности, в декабре 2019 года чистая прибыль Сбербанка составила 55,9 млрд рублей, что стало существенным увеличением по сравнению с предыдущими периодами. За весь 2019 год банк заработал 870,1 млрд рублей чистой прибыли, что свидетельствует о курсе на устойчивый рост и успешную диверсификацию портфеля кредитования (</w:t>
      </w:r>
      <w:hyperlink r:id="rId22">
        <w:r>
          <w:rPr>
            <w:rStyle w:val="Hyperlink"/>
          </w:rPr>
          <w:t xml:space="preserve">Источник</w:t>
        </w:r>
      </w:hyperlink>
      <w:r>
        <w:t xml:space="preserve">).</w:t>
      </w:r>
    </w:p>
    <w:p>
      <w:pPr>
        <w:pStyle w:val="Heading4"/>
      </w:pPr>
      <w:bookmarkStart w:id="29" w:name="инновации-и-технологии"/>
      <w:r>
        <w:t xml:space="preserve">Инновации и технологии</w:t>
      </w:r>
      <w:bookmarkEnd w:id="29"/>
    </w:p>
    <w:p>
      <w:pPr>
        <w:pStyle w:val="FirstParagraph"/>
      </w:pPr>
      <w:r>
        <w:t xml:space="preserve">Внедрение инновационных технологий остается ключевым направлением развития Сбербанка. Система искусственного интеллекта активно используется для улучшения различных банковских процессов, включая принятие решений о кредитовании и обеспечение кибербезопасности клиентов. В 2024 году сообщалось, что Сбербанк использует более 100 моделей ИИ для защиты своих информационных систем (</w:t>
      </w:r>
      <w:hyperlink r:id="rId23">
        <w:r>
          <w:rPr>
            <w:rStyle w:val="Hyperlink"/>
          </w:rPr>
          <w:t xml:space="preserve">Источник</w:t>
        </w:r>
      </w:hyperlink>
      <w:r>
        <w:t xml:space="preserve">).</w:t>
      </w:r>
    </w:p>
    <w:p>
      <w:pPr>
        <w:pStyle w:val="BodyText"/>
      </w:pPr>
      <w:r>
        <w:t xml:space="preserve">Также отметим, что в 2024 году ИИ-инструменты Сбербанка, такие как нейросеть Kandinsky, находили широкое применение среди пользователей для создания фотореалистичных изображений и видео. Общее количество пользователей ИИ-сервисов Сбербанка достигло 18 млн к середине марта 2024 года, что подчеркивает высокий интерес и востребованность данных решений (</w:t>
      </w:r>
      <w:hyperlink r:id="rId23">
        <w:r>
          <w:rPr>
            <w:rStyle w:val="Hyperlink"/>
          </w:rPr>
          <w:t xml:space="preserve">Источник</w:t>
        </w:r>
      </w:hyperlink>
      <w:r>
        <w:t xml:space="preserve">).</w:t>
      </w:r>
    </w:p>
    <w:p>
      <w:pPr>
        <w:pStyle w:val="Heading4"/>
      </w:pPr>
      <w:bookmarkStart w:id="30" w:name="X6524207e156c41895551d3039ee0b17e2c65468"/>
      <w:r>
        <w:t xml:space="preserve">Маркетинговые и стратегические инициативы</w:t>
      </w:r>
      <w:bookmarkEnd w:id="30"/>
    </w:p>
    <w:p>
      <w:pPr>
        <w:pStyle w:val="FirstParagraph"/>
      </w:pPr>
      <w:r>
        <w:t xml:space="preserve">Маркетинговые стратегии Сбербанка в исследуемом периоде также претерпели значительные изменения. Банк активно продвигал использование аккредитивов и счетов эскроу в госзакупках, что помогало минимизировать проблему несвоевременных платежей и предоставляло дополнительное финансирование участникам (</w:t>
      </w:r>
      <w:hyperlink r:id="rId22">
        <w:r>
          <w:rPr>
            <w:rStyle w:val="Hyperlink"/>
          </w:rPr>
          <w:t xml:space="preserve">Источник</w:t>
        </w:r>
      </w:hyperlink>
      <w:r>
        <w:t xml:space="preserve">).</w:t>
      </w:r>
    </w:p>
    <w:p>
      <w:pPr>
        <w:pStyle w:val="BodyText"/>
      </w:pPr>
      <w:r>
        <w:t xml:space="preserve">В условиях повышенной конкуренции на финансовом рынке, Сбербанк уделяет особое внимание персонализации обслуживания клиентов. Разные удобные сервисы, основанные на анализе данных и цепочек поставок, позволяют предлагать клиентам уникальные решения, избегая кассовых разрывов и повышая общую удовлетворенность сервисами (</w:t>
      </w:r>
      <w:hyperlink r:id="rId23">
        <w:r>
          <w:rPr>
            <w:rStyle w:val="Hyperlink"/>
          </w:rPr>
          <w:t xml:space="preserve">Источник</w:t>
        </w:r>
      </w:hyperlink>
      <w:r>
        <w:t xml:space="preserve">).</w:t>
      </w:r>
    </w:p>
    <w:p>
      <w:pPr>
        <w:pStyle w:val="Heading4"/>
      </w:pPr>
      <w:bookmarkStart w:id="31" w:name="высокие-стандарты-дивидендных-выплат"/>
      <w:r>
        <w:t xml:space="preserve">Высокие стандарты дивидендных выплат</w:t>
      </w:r>
      <w:bookmarkEnd w:id="31"/>
    </w:p>
    <w:p>
      <w:pPr>
        <w:pStyle w:val="FirstParagraph"/>
      </w:pPr>
      <w:r>
        <w:t xml:space="preserve">За отчетный период Сбербанк неоднократно достигал значительных успехов в выплате дивидендов своим акционерам. К примеру, в 2020 году банк объявил о начале выплат дивидендов по итогам 2019 года, составивших рекордные 422,4 млрд рублей. Это стало крупнейшим показателем в истории России и привлекло внимание как внутренних, так и международных инвесторов (</w:t>
      </w:r>
      <w:hyperlink r:id="rId22">
        <w:r>
          <w:rPr>
            <w:rStyle w:val="Hyperlink"/>
          </w:rPr>
          <w:t xml:space="preserve">Источник</w:t>
        </w:r>
      </w:hyperlink>
      <w:r>
        <w:t xml:space="preserve">).</w:t>
      </w:r>
    </w:p>
    <w:p>
      <w:pPr>
        <w:pStyle w:val="Heading4"/>
      </w:pPr>
      <w:bookmarkStart w:id="32" w:name="содействие-в-развитии-экосистемы"/>
      <w:r>
        <w:t xml:space="preserve">Содействие в развитии экосистемы</w:t>
      </w:r>
      <w:bookmarkEnd w:id="32"/>
    </w:p>
    <w:p>
      <w:pPr>
        <w:pStyle w:val="FirstParagraph"/>
      </w:pPr>
      <w:r>
        <w:t xml:space="preserve">Экосистема SberX, представленная в отчетный период, демонстрирует значительное расширение и укрепление позиций Сбербанка на рынке. Помимо традиционных банковских продуктов, Сбер активно внедряет технологические решения в области здравоохранения и образования. Введение новой программы кредитования Минсельхоза с января 2017 года свидетельствует о поддержке и развитии сельского хозяйства в России (</w:t>
      </w:r>
      <w:hyperlink r:id="rId24">
        <w:r>
          <w:rPr>
            <w:rStyle w:val="Hyperlink"/>
          </w:rPr>
          <w:t xml:space="preserve">Источник</w:t>
        </w:r>
      </w:hyperlink>
      <w:r>
        <w:t xml:space="preserve">).</w:t>
      </w:r>
    </w:p>
    <w:p>
      <w:pPr>
        <w:pStyle w:val="Heading4"/>
      </w:pPr>
      <w:bookmarkStart w:id="33" w:name="заключение"/>
      <w:r>
        <w:t xml:space="preserve">Заключение</w:t>
      </w:r>
      <w:bookmarkEnd w:id="33"/>
    </w:p>
    <w:p>
      <w:pPr>
        <w:pStyle w:val="FirstParagraph"/>
      </w:pPr>
      <w:r>
        <w:t xml:space="preserve">В период с 1 января 2019 года по 1 июня 2024 года Сбербанк показал высокую степень способности адаптироваться к быстро меняющимся условиям рынка, внедряя инновации, расширяя свои услуги и улучшая клиентский опыт. Это позволило банку не только укрепить свои позиции на российском рынке, но и привлечь внимание международного сообщества, демонстрируя стабильный рост и надежность.</w:t>
      </w:r>
    </w:p>
    <w:p>
      <w:pPr>
        <w:pStyle w:val="Heading4"/>
      </w:pPr>
      <w:bookmarkStart w:id="34" w:name="использованные-источники-1"/>
      <w:r>
        <w:t xml:space="preserve">Использованные источники</w:t>
      </w:r>
      <w:bookmarkEnd w:id="34"/>
    </w:p>
    <w:p>
      <w:pPr>
        <w:numPr>
          <w:ilvl w:val="0"/>
          <w:numId w:val="1003"/>
        </w:numPr>
        <w:pStyle w:val="Compact"/>
      </w:pPr>
      <w:hyperlink r:id="rId22">
        <w:r>
          <w:rPr>
            <w:rStyle w:val="Hyperlink"/>
          </w:rPr>
          <w:t xml:space="preserve">Финансовые показатели Сбербанка</w:t>
        </w:r>
      </w:hyperlink>
    </w:p>
    <w:p>
      <w:pPr>
        <w:numPr>
          <w:ilvl w:val="0"/>
          <w:numId w:val="1003"/>
        </w:numPr>
        <w:pStyle w:val="Compact"/>
      </w:pPr>
      <w:hyperlink r:id="rId23">
        <w:r>
          <w:rPr>
            <w:rStyle w:val="Hyperlink"/>
          </w:rPr>
          <w:t xml:space="preserve">Искусственный интеллект в Сбербанке</w:t>
        </w:r>
      </w:hyperlink>
    </w:p>
    <w:p>
      <w:pPr>
        <w:numPr>
          <w:ilvl w:val="0"/>
          <w:numId w:val="1003"/>
        </w:numPr>
        <w:pStyle w:val="Compact"/>
      </w:pPr>
      <w:hyperlink r:id="rId24">
        <w:r>
          <w:rPr>
            <w:rStyle w:val="Hyperlink"/>
          </w:rPr>
          <w:t xml:space="preserve">Экосистема Сбербанка (SberX)</w:t>
        </w:r>
      </w:hyperlink>
    </w:p>
    <w:p>
      <w:pPr>
        <w:numPr>
          <w:ilvl w:val="0"/>
          <w:numId w:val="1003"/>
        </w:numPr>
        <w:pStyle w:val="Compact"/>
      </w:pPr>
      <w:hyperlink r:id="rId25">
        <w:r>
          <w:rPr>
            <w:rStyle w:val="Hyperlink"/>
          </w:rPr>
          <w:t xml:space="preserve">Анализ маркетинговой деятельности ПАО «Сбербанк России»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5" Type="http://schemas.openxmlformats.org/officeDocument/2006/relationships/hyperlink" Target="https://spravochnick.ru/marketing/analiz_marketingovoy_deyatelnosti_pao_sberbank_rossii/" TargetMode="External"/><Relationship Id="rId23" Type="http://schemas.openxmlformats.org/officeDocument/2006/relationships/hyperlink" Target="https://www.tadviser.ru/index.php/&#1057;&#1090;&#1072;&#1090;&#1100;&#1103;:&#1048;&#1089;&#1082;&#1091;&#1089;&#1089;&#1090;&#1074;&#1077;&#1085;&#1085;&#1099;&#1081;_&#1080;&#1085;&#1090;&#1077;&#1083;&#1083;&#1077;&#1082;&#1090;_&#1074;_&#1057;&#1073;&#1077;&#1088;&#1073;&#1072;&#1085;&#1082;&#1077;" TargetMode="External"/><Relationship Id="rId22" Type="http://schemas.openxmlformats.org/officeDocument/2006/relationships/hyperlink" Target="https://www.tadviser.ru/index.php/&#1057;&#1090;&#1072;&#1090;&#1100;&#1103;:&#1060;&#1080;&#1085;&#1072;&#1085;&#1089;&#1086;&#1074;&#1099;&#1077;_&#1087;&#1086;&#1082;&#1072;&#1079;&#1072;&#1090;&#1077;&#1083;&#1080;_&#1057;&#1073;&#1077;&#1088;&#1073;&#1072;&#1085;&#1082;&#1072;" TargetMode="External"/><Relationship Id="rId24" Type="http://schemas.openxmlformats.org/officeDocument/2006/relationships/hyperlink" Target="https://www.tadviser.ru/index.php/&#1057;&#1090;&#1072;&#1090;&#1100;&#1103;:&#1069;&#1082;&#1086;&#1089;&#1080;&#1089;&#1090;&#1077;&#1084;&#1072;_&#1057;&#1073;&#1077;&#1088;&#1073;&#1072;&#1085;&#1082;&#1072;_(SberX)" TargetMode="External"/></Relationships>
</file>

<file path=word/_rels/footnotes.xml.rels><?xml version='1.0' encoding='UTF-8' standalone='yes'?>
<Relationships xmlns="http://schemas.openxmlformats.org/package/2006/relationships"><Relationship Id="rId25" Type="http://schemas.openxmlformats.org/officeDocument/2006/relationships/hyperlink" Target="https://spravochnick.ru/marketing/analiz_marketingovoy_deyatelnosti_pao_sberbank_rossii/" TargetMode="External"/><Relationship Id="rId23" Type="http://schemas.openxmlformats.org/officeDocument/2006/relationships/hyperlink" Target="https://www.tadviser.ru/index.php/&#1057;&#1090;&#1072;&#1090;&#1100;&#1103;:&#1048;&#1089;&#1082;&#1091;&#1089;&#1089;&#1090;&#1074;&#1077;&#1085;&#1085;&#1099;&#1081;_&#1080;&#1085;&#1090;&#1077;&#1083;&#1083;&#1077;&#1082;&#1090;_&#1074;_&#1057;&#1073;&#1077;&#1088;&#1073;&#1072;&#1085;&#1082;&#1077;" TargetMode="External"/><Relationship Id="rId22" Type="http://schemas.openxmlformats.org/officeDocument/2006/relationships/hyperlink" Target="https://www.tadviser.ru/index.php/&#1057;&#1090;&#1072;&#1090;&#1100;&#1103;:&#1060;&#1080;&#1085;&#1072;&#1085;&#1089;&#1086;&#1074;&#1099;&#1077;_&#1087;&#1086;&#1082;&#1072;&#1079;&#1072;&#1090;&#1077;&#1083;&#1080;_&#1057;&#1073;&#1077;&#1088;&#1073;&#1072;&#1085;&#1082;&#1072;" TargetMode="External"/><Relationship Id="rId24" Type="http://schemas.openxmlformats.org/officeDocument/2006/relationships/hyperlink" Target="https://www.tadviser.ru/index.php/&#1057;&#1090;&#1072;&#1090;&#1100;&#1103;:&#1069;&#1082;&#1086;&#1089;&#1080;&#1089;&#1090;&#1077;&#1084;&#1072;_&#1057;&#1073;&#1077;&#1088;&#1073;&#1072;&#1085;&#1082;&#1072;_(SberX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2024-06-16T16:50:51Z</dcterms:created>
  <dcterms:modified xsi:type="dcterms:W3CDTF">2024-06-16T16:50:51Z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