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Чек-лист проекта Okama, видже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 Efficient Frontier.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Добавление актива в поле “Tickers in the Efficient Frontier”.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актива из поля “Tickers in the Efficient Frontier”.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валюты в поле “Base currency”. Дропдаун.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дат (“First Date”, “Last Date”) построение графика.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построенный график, кнопка “Copy link”.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tooltips при наведении мыши на квадратик рядом с “Plot”, “Capital Market Line (CML)”, “Risk-Free Rate”, “Number of points”, “Show transition map”.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“Submit”.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Checkbox “Plot”.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Checkbox “Capital Market Line (CML)”.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Checkbox “Show transition map”.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 “Risk-Free Rate” в формате 0 - 100 (Format: XX.XX).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 “Risk-Free Rate” в формате (-100 - 0) (Format: XX.XX).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 “Risk-Free Rate” в формате (100 - 200) (Format: XX.XX).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Input “Number of points”.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Построенный график с двумя осями “Risk (standard deviation)” и “Rate of Return”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Копирование графика созданием файла в формате “PNG”.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Увеличение графика в выбранной области мышью.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Выделение графика “Box select”.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Выделение графика “Lasso select”.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Перемещение по графику “Pan”.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Увеличение и уменьшение общего вида графика “Zoom in”, “Zoom out”.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Автомасштабирование графика.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Привести график в базовый вид “Reset axes”.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Отражение информации в “Assets names”.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Отображение “Information”.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