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74099" w14:textId="77777777" w:rsidR="00A5008C" w:rsidRDefault="00A5008C"/>
    <w:tbl>
      <w:tblPr>
        <w:tblpPr w:leftFromText="180" w:rightFromText="180" w:vertAnchor="text" w:tblpX="-10" w:tblpY="1"/>
        <w:tblOverlap w:val="never"/>
        <w:tblW w:w="45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1353"/>
        <w:gridCol w:w="3367"/>
        <w:gridCol w:w="645"/>
        <w:gridCol w:w="1198"/>
        <w:gridCol w:w="568"/>
        <w:gridCol w:w="699"/>
        <w:gridCol w:w="693"/>
        <w:gridCol w:w="548"/>
        <w:gridCol w:w="642"/>
        <w:gridCol w:w="548"/>
        <w:gridCol w:w="809"/>
        <w:gridCol w:w="585"/>
        <w:gridCol w:w="548"/>
        <w:gridCol w:w="548"/>
        <w:gridCol w:w="568"/>
        <w:gridCol w:w="548"/>
        <w:gridCol w:w="714"/>
        <w:gridCol w:w="549"/>
        <w:gridCol w:w="1284"/>
        <w:gridCol w:w="549"/>
        <w:gridCol w:w="794"/>
        <w:gridCol w:w="1110"/>
      </w:tblGrid>
      <w:tr w:rsidR="004C76CF" w:rsidRPr="006F5DA5" w14:paraId="69914FC5" w14:textId="77777777" w:rsidTr="00E659B0">
        <w:trPr>
          <w:trHeight w:val="480"/>
        </w:trPr>
        <w:tc>
          <w:tcPr>
            <w:tcW w:w="378" w:type="pct"/>
            <w:vMerge w:val="restart"/>
            <w:shd w:val="clear" w:color="auto" w:fill="DDEBF7"/>
            <w:vAlign w:val="center"/>
            <w:hideMark/>
          </w:tcPr>
          <w:p w14:paraId="5D8D0F7C" w14:textId="74767555" w:rsidR="007F7FEB" w:rsidRPr="00837DC6" w:rsidRDefault="007F7FEB" w:rsidP="00E659B0">
            <w:pPr>
              <w:jc w:val="center"/>
              <w:rPr>
                <w:rFonts w:ascii="Calibri" w:hAnsi="Calibri" w:cs="Calibri"/>
                <w:b/>
                <w:bCs/>
                <w:color w:val="000000"/>
                <w:sz w:val="20"/>
                <w:szCs w:val="20"/>
              </w:rPr>
            </w:pPr>
            <w:r w:rsidRPr="6BD86981">
              <w:rPr>
                <w:rFonts w:ascii="Calibri" w:hAnsi="Calibri" w:cs="Calibri"/>
                <w:b/>
                <w:bCs/>
                <w:color w:val="000000" w:themeColor="text1"/>
                <w:sz w:val="20"/>
                <w:szCs w:val="20"/>
              </w:rPr>
              <w:t>Learning Outcome or Evaluative Criteria</w:t>
            </w:r>
          </w:p>
        </w:tc>
        <w:tc>
          <w:tcPr>
            <w:tcW w:w="505" w:type="pct"/>
            <w:vMerge w:val="restart"/>
            <w:shd w:val="clear" w:color="auto" w:fill="DDEBF7"/>
            <w:vAlign w:val="center"/>
            <w:hideMark/>
          </w:tcPr>
          <w:p w14:paraId="079802B5" w14:textId="77777777" w:rsidR="007F7FEB" w:rsidRPr="00837DC6" w:rsidRDefault="007F7FEB" w:rsidP="00E659B0">
            <w:pPr>
              <w:jc w:val="center"/>
              <w:rPr>
                <w:rFonts w:ascii="Calibri" w:hAnsi="Calibri" w:cs="Calibri"/>
                <w:b/>
                <w:bCs/>
                <w:color w:val="000000"/>
                <w:sz w:val="20"/>
                <w:szCs w:val="20"/>
              </w:rPr>
            </w:pPr>
            <w:r w:rsidRPr="00837DC6">
              <w:rPr>
                <w:rFonts w:ascii="Calibri" w:hAnsi="Calibri" w:cs="Calibri"/>
                <w:b/>
                <w:bCs/>
                <w:color w:val="000000"/>
                <w:sz w:val="20"/>
                <w:szCs w:val="20"/>
              </w:rPr>
              <w:t>Comments</w:t>
            </w:r>
          </w:p>
        </w:tc>
        <w:tc>
          <w:tcPr>
            <w:tcW w:w="187" w:type="pct"/>
            <w:shd w:val="clear" w:color="auto" w:fill="DDEBF7"/>
            <w:vAlign w:val="center"/>
            <w:hideMark/>
          </w:tcPr>
          <w:p w14:paraId="6DAC9A7D"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100%</w:t>
            </w:r>
          </w:p>
        </w:tc>
        <w:tc>
          <w:tcPr>
            <w:tcW w:w="339" w:type="pct"/>
            <w:shd w:val="clear" w:color="auto" w:fill="DDEBF7"/>
            <w:vAlign w:val="center"/>
            <w:hideMark/>
          </w:tcPr>
          <w:p w14:paraId="11AFAB38"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94%</w:t>
            </w:r>
          </w:p>
        </w:tc>
        <w:tc>
          <w:tcPr>
            <w:tcW w:w="161" w:type="pct"/>
            <w:shd w:val="clear" w:color="auto" w:fill="DDEBF7"/>
            <w:vAlign w:val="center"/>
            <w:hideMark/>
          </w:tcPr>
          <w:p w14:paraId="1B4835EC"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88%</w:t>
            </w:r>
          </w:p>
        </w:tc>
        <w:tc>
          <w:tcPr>
            <w:tcW w:w="194" w:type="pct"/>
            <w:shd w:val="clear" w:color="auto" w:fill="DDEBF7"/>
            <w:vAlign w:val="center"/>
            <w:hideMark/>
          </w:tcPr>
          <w:p w14:paraId="3C496983"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82%</w:t>
            </w:r>
          </w:p>
        </w:tc>
        <w:tc>
          <w:tcPr>
            <w:tcW w:w="194" w:type="pct"/>
            <w:shd w:val="clear" w:color="auto" w:fill="DDEBF7"/>
            <w:vAlign w:val="center"/>
            <w:hideMark/>
          </w:tcPr>
          <w:p w14:paraId="6761AB11"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78%</w:t>
            </w:r>
          </w:p>
        </w:tc>
        <w:tc>
          <w:tcPr>
            <w:tcW w:w="186" w:type="pct"/>
            <w:shd w:val="clear" w:color="auto" w:fill="DDEBF7"/>
            <w:vAlign w:val="center"/>
            <w:hideMark/>
          </w:tcPr>
          <w:p w14:paraId="28EC9B45"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74%</w:t>
            </w:r>
          </w:p>
        </w:tc>
        <w:tc>
          <w:tcPr>
            <w:tcW w:w="193" w:type="pct"/>
            <w:shd w:val="clear" w:color="auto" w:fill="DDEBF7"/>
            <w:vAlign w:val="center"/>
            <w:hideMark/>
          </w:tcPr>
          <w:p w14:paraId="180D75B8"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68%</w:t>
            </w:r>
          </w:p>
        </w:tc>
        <w:tc>
          <w:tcPr>
            <w:tcW w:w="161" w:type="pct"/>
            <w:shd w:val="clear" w:color="auto" w:fill="DDEBF7"/>
            <w:vAlign w:val="center"/>
            <w:hideMark/>
          </w:tcPr>
          <w:p w14:paraId="5769CA8A"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65%</w:t>
            </w:r>
          </w:p>
        </w:tc>
        <w:tc>
          <w:tcPr>
            <w:tcW w:w="236" w:type="pct"/>
            <w:shd w:val="clear" w:color="auto" w:fill="DDEBF7"/>
            <w:vAlign w:val="center"/>
            <w:hideMark/>
          </w:tcPr>
          <w:p w14:paraId="108C00E7"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62%</w:t>
            </w:r>
          </w:p>
        </w:tc>
        <w:tc>
          <w:tcPr>
            <w:tcW w:w="174" w:type="pct"/>
            <w:shd w:val="clear" w:color="auto" w:fill="DDEBF7"/>
            <w:vAlign w:val="center"/>
            <w:hideMark/>
          </w:tcPr>
          <w:p w14:paraId="660B5F8E"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58%</w:t>
            </w:r>
          </w:p>
        </w:tc>
        <w:tc>
          <w:tcPr>
            <w:tcW w:w="158" w:type="pct"/>
            <w:shd w:val="clear" w:color="auto" w:fill="DDEBF7"/>
            <w:vAlign w:val="center"/>
            <w:hideMark/>
          </w:tcPr>
          <w:p w14:paraId="5D5DA8EB"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55%</w:t>
            </w:r>
          </w:p>
        </w:tc>
        <w:tc>
          <w:tcPr>
            <w:tcW w:w="159" w:type="pct"/>
            <w:shd w:val="clear" w:color="auto" w:fill="DDEBF7"/>
            <w:vAlign w:val="center"/>
            <w:hideMark/>
          </w:tcPr>
          <w:p w14:paraId="6D263382"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52%</w:t>
            </w:r>
          </w:p>
        </w:tc>
        <w:tc>
          <w:tcPr>
            <w:tcW w:w="166" w:type="pct"/>
            <w:shd w:val="clear" w:color="auto" w:fill="DDEBF7"/>
            <w:vAlign w:val="center"/>
            <w:hideMark/>
          </w:tcPr>
          <w:p w14:paraId="6D92F0E5"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48%</w:t>
            </w:r>
          </w:p>
        </w:tc>
        <w:tc>
          <w:tcPr>
            <w:tcW w:w="175" w:type="pct"/>
            <w:shd w:val="clear" w:color="auto" w:fill="DDEBF7"/>
            <w:vAlign w:val="center"/>
            <w:hideMark/>
          </w:tcPr>
          <w:p w14:paraId="393065F9"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45%</w:t>
            </w:r>
          </w:p>
        </w:tc>
        <w:tc>
          <w:tcPr>
            <w:tcW w:w="210" w:type="pct"/>
            <w:shd w:val="clear" w:color="auto" w:fill="DDEBF7"/>
            <w:vAlign w:val="center"/>
            <w:hideMark/>
          </w:tcPr>
          <w:p w14:paraId="10C4C0C6"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42%</w:t>
            </w:r>
          </w:p>
        </w:tc>
        <w:tc>
          <w:tcPr>
            <w:tcW w:w="163" w:type="pct"/>
            <w:shd w:val="clear" w:color="auto" w:fill="DDEBF7"/>
            <w:vAlign w:val="center"/>
            <w:hideMark/>
          </w:tcPr>
          <w:p w14:paraId="6724320F"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38%</w:t>
            </w:r>
          </w:p>
        </w:tc>
        <w:tc>
          <w:tcPr>
            <w:tcW w:w="360" w:type="pct"/>
            <w:shd w:val="clear" w:color="auto" w:fill="DDEBF7"/>
            <w:vAlign w:val="center"/>
            <w:hideMark/>
          </w:tcPr>
          <w:p w14:paraId="72A16A40"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32%</w:t>
            </w:r>
          </w:p>
        </w:tc>
        <w:tc>
          <w:tcPr>
            <w:tcW w:w="158" w:type="pct"/>
            <w:shd w:val="clear" w:color="auto" w:fill="DDEBF7"/>
            <w:vAlign w:val="center"/>
            <w:hideMark/>
          </w:tcPr>
          <w:p w14:paraId="3575FC4E"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25%</w:t>
            </w:r>
          </w:p>
        </w:tc>
        <w:tc>
          <w:tcPr>
            <w:tcW w:w="235" w:type="pct"/>
            <w:shd w:val="clear" w:color="auto" w:fill="DDEBF7"/>
            <w:vAlign w:val="center"/>
            <w:hideMark/>
          </w:tcPr>
          <w:p w14:paraId="0A5D1B46"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12%</w:t>
            </w:r>
          </w:p>
        </w:tc>
        <w:tc>
          <w:tcPr>
            <w:tcW w:w="308" w:type="pct"/>
            <w:shd w:val="clear" w:color="auto" w:fill="DDEBF7"/>
            <w:vAlign w:val="center"/>
            <w:hideMark/>
          </w:tcPr>
          <w:p w14:paraId="30EC053A" w14:textId="77777777" w:rsidR="007F7FEB" w:rsidRPr="00837DC6" w:rsidRDefault="007F7FEB" w:rsidP="00E659B0">
            <w:pPr>
              <w:jc w:val="center"/>
              <w:rPr>
                <w:rFonts w:ascii="Calibri" w:hAnsi="Calibri" w:cs="Calibri"/>
                <w:b/>
                <w:bCs/>
                <w:sz w:val="19"/>
                <w:szCs w:val="19"/>
              </w:rPr>
            </w:pPr>
            <w:r w:rsidRPr="00837DC6">
              <w:rPr>
                <w:rFonts w:ascii="Calibri" w:hAnsi="Calibri" w:cs="Calibri"/>
                <w:b/>
                <w:bCs/>
                <w:sz w:val="19"/>
                <w:szCs w:val="19"/>
              </w:rPr>
              <w:t>0%</w:t>
            </w:r>
          </w:p>
        </w:tc>
      </w:tr>
      <w:tr w:rsidR="004C76CF" w:rsidRPr="006F5DA5" w14:paraId="4DC03432" w14:textId="77777777" w:rsidTr="00E659B0">
        <w:trPr>
          <w:trHeight w:val="489"/>
        </w:trPr>
        <w:tc>
          <w:tcPr>
            <w:tcW w:w="378" w:type="pct"/>
            <w:vMerge/>
            <w:vAlign w:val="center"/>
            <w:hideMark/>
          </w:tcPr>
          <w:p w14:paraId="6118B987" w14:textId="471ABB31" w:rsidR="007F7FEB" w:rsidRPr="006F5DA5" w:rsidRDefault="007F7FEB" w:rsidP="00E659B0">
            <w:pPr>
              <w:rPr>
                <w:rFonts w:ascii="Calibri" w:hAnsi="Calibri" w:cs="Calibri"/>
                <w:b/>
                <w:bCs/>
                <w:color w:val="000000"/>
                <w:sz w:val="19"/>
                <w:szCs w:val="19"/>
              </w:rPr>
            </w:pPr>
          </w:p>
        </w:tc>
        <w:tc>
          <w:tcPr>
            <w:tcW w:w="505" w:type="pct"/>
            <w:vMerge/>
            <w:vAlign w:val="center"/>
            <w:hideMark/>
          </w:tcPr>
          <w:p w14:paraId="0C924E4E" w14:textId="77777777" w:rsidR="007F7FEB" w:rsidRPr="006F5DA5" w:rsidRDefault="007F7FEB" w:rsidP="00E659B0">
            <w:pPr>
              <w:rPr>
                <w:rFonts w:ascii="Calibri" w:hAnsi="Calibri" w:cs="Calibri"/>
                <w:b/>
                <w:bCs/>
                <w:color w:val="000000"/>
                <w:sz w:val="19"/>
                <w:szCs w:val="19"/>
              </w:rPr>
            </w:pPr>
          </w:p>
        </w:tc>
        <w:tc>
          <w:tcPr>
            <w:tcW w:w="526" w:type="pct"/>
            <w:gridSpan w:val="2"/>
            <w:shd w:val="clear" w:color="auto" w:fill="DDEBF7"/>
            <w:hideMark/>
          </w:tcPr>
          <w:p w14:paraId="63D2CD24" w14:textId="77777777" w:rsidR="007F7FEB" w:rsidRPr="00837DC6" w:rsidRDefault="007F7FEB" w:rsidP="00E659B0">
            <w:pPr>
              <w:jc w:val="center"/>
              <w:rPr>
                <w:rFonts w:ascii="Calibri" w:hAnsi="Calibri" w:cs="Calibri"/>
                <w:sz w:val="19"/>
                <w:szCs w:val="19"/>
              </w:rPr>
            </w:pPr>
            <w:r w:rsidRPr="00837DC6">
              <w:rPr>
                <w:rFonts w:ascii="Calibri" w:hAnsi="Calibri" w:cs="Calibri"/>
                <w:sz w:val="19"/>
                <w:szCs w:val="19"/>
              </w:rPr>
              <w:t>Exceptional 1st</w:t>
            </w:r>
          </w:p>
        </w:tc>
        <w:tc>
          <w:tcPr>
            <w:tcW w:w="161" w:type="pct"/>
            <w:shd w:val="clear" w:color="auto" w:fill="DDEBF7"/>
            <w:hideMark/>
          </w:tcPr>
          <w:p w14:paraId="2914D0DF"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High 1st</w:t>
            </w:r>
          </w:p>
        </w:tc>
        <w:tc>
          <w:tcPr>
            <w:tcW w:w="194" w:type="pct"/>
            <w:shd w:val="clear" w:color="auto" w:fill="DDEBF7"/>
            <w:hideMark/>
          </w:tcPr>
          <w:p w14:paraId="1E9DB8FB"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Upper Mid 1st</w:t>
            </w:r>
          </w:p>
        </w:tc>
        <w:tc>
          <w:tcPr>
            <w:tcW w:w="194" w:type="pct"/>
            <w:shd w:val="clear" w:color="auto" w:fill="DDEBF7"/>
            <w:hideMark/>
          </w:tcPr>
          <w:p w14:paraId="23CE30FA"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Lower Mid 1st</w:t>
            </w:r>
          </w:p>
        </w:tc>
        <w:tc>
          <w:tcPr>
            <w:tcW w:w="186" w:type="pct"/>
            <w:shd w:val="clear" w:color="auto" w:fill="DDEBF7"/>
            <w:hideMark/>
          </w:tcPr>
          <w:p w14:paraId="3839BEB6"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Low 1st</w:t>
            </w:r>
          </w:p>
        </w:tc>
        <w:tc>
          <w:tcPr>
            <w:tcW w:w="193" w:type="pct"/>
            <w:shd w:val="clear" w:color="auto" w:fill="DDEBF7"/>
            <w:hideMark/>
          </w:tcPr>
          <w:p w14:paraId="1A56286E"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High 2:1</w:t>
            </w:r>
          </w:p>
        </w:tc>
        <w:tc>
          <w:tcPr>
            <w:tcW w:w="161" w:type="pct"/>
            <w:shd w:val="clear" w:color="auto" w:fill="DDEBF7"/>
            <w:hideMark/>
          </w:tcPr>
          <w:p w14:paraId="7659D568"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Mid 2:1</w:t>
            </w:r>
          </w:p>
        </w:tc>
        <w:tc>
          <w:tcPr>
            <w:tcW w:w="236" w:type="pct"/>
            <w:shd w:val="clear" w:color="auto" w:fill="DDEBF7"/>
            <w:hideMark/>
          </w:tcPr>
          <w:p w14:paraId="6F5CE1A0"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 xml:space="preserve">Low 2:1 </w:t>
            </w:r>
          </w:p>
        </w:tc>
        <w:tc>
          <w:tcPr>
            <w:tcW w:w="174" w:type="pct"/>
            <w:shd w:val="clear" w:color="auto" w:fill="DDEBF7"/>
            <w:hideMark/>
          </w:tcPr>
          <w:p w14:paraId="5948B83A"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High 2:2</w:t>
            </w:r>
          </w:p>
        </w:tc>
        <w:tc>
          <w:tcPr>
            <w:tcW w:w="158" w:type="pct"/>
            <w:shd w:val="clear" w:color="auto" w:fill="DDEBF7"/>
            <w:hideMark/>
          </w:tcPr>
          <w:p w14:paraId="55D061B6"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Mid 2:2</w:t>
            </w:r>
          </w:p>
        </w:tc>
        <w:tc>
          <w:tcPr>
            <w:tcW w:w="159" w:type="pct"/>
            <w:shd w:val="clear" w:color="auto" w:fill="DDEBF7"/>
            <w:hideMark/>
          </w:tcPr>
          <w:p w14:paraId="36415863"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Low 2:2</w:t>
            </w:r>
          </w:p>
        </w:tc>
        <w:tc>
          <w:tcPr>
            <w:tcW w:w="166" w:type="pct"/>
            <w:shd w:val="clear" w:color="auto" w:fill="DDEBF7"/>
            <w:hideMark/>
          </w:tcPr>
          <w:p w14:paraId="03E89C92"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High 3rd</w:t>
            </w:r>
          </w:p>
        </w:tc>
        <w:tc>
          <w:tcPr>
            <w:tcW w:w="175" w:type="pct"/>
            <w:shd w:val="clear" w:color="auto" w:fill="DDEBF7"/>
            <w:hideMark/>
          </w:tcPr>
          <w:p w14:paraId="0DCB2EE9"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Mid 3rd</w:t>
            </w:r>
          </w:p>
        </w:tc>
        <w:tc>
          <w:tcPr>
            <w:tcW w:w="210" w:type="pct"/>
            <w:shd w:val="clear" w:color="auto" w:fill="DDEBF7"/>
            <w:hideMark/>
          </w:tcPr>
          <w:p w14:paraId="46D35804"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Low 3rd</w:t>
            </w:r>
          </w:p>
        </w:tc>
        <w:tc>
          <w:tcPr>
            <w:tcW w:w="523" w:type="pct"/>
            <w:gridSpan w:val="2"/>
            <w:shd w:val="clear" w:color="auto" w:fill="DDEBF7"/>
            <w:hideMark/>
          </w:tcPr>
          <w:p w14:paraId="34E47436" w14:textId="77777777" w:rsidR="007F7FEB" w:rsidRPr="00837DC6" w:rsidRDefault="007F7FEB" w:rsidP="00E659B0">
            <w:pPr>
              <w:jc w:val="center"/>
              <w:rPr>
                <w:rFonts w:ascii="Calibri" w:hAnsi="Calibri" w:cs="Calibri"/>
                <w:sz w:val="19"/>
                <w:szCs w:val="19"/>
              </w:rPr>
            </w:pPr>
            <w:r w:rsidRPr="00837DC6">
              <w:rPr>
                <w:rFonts w:ascii="Calibri" w:hAnsi="Calibri" w:cs="Calibri"/>
                <w:sz w:val="19"/>
                <w:szCs w:val="19"/>
              </w:rPr>
              <w:t>Fail</w:t>
            </w:r>
          </w:p>
        </w:tc>
        <w:tc>
          <w:tcPr>
            <w:tcW w:w="393" w:type="pct"/>
            <w:gridSpan w:val="2"/>
            <w:shd w:val="clear" w:color="auto" w:fill="DDEBF7"/>
            <w:hideMark/>
          </w:tcPr>
          <w:p w14:paraId="3B4AFE87" w14:textId="77777777" w:rsidR="007F7FEB" w:rsidRPr="00837DC6" w:rsidRDefault="007F7FEB" w:rsidP="00E659B0">
            <w:pPr>
              <w:jc w:val="center"/>
              <w:rPr>
                <w:rFonts w:ascii="Calibri" w:hAnsi="Calibri" w:cs="Calibri"/>
                <w:sz w:val="19"/>
                <w:szCs w:val="19"/>
              </w:rPr>
            </w:pPr>
            <w:r w:rsidRPr="00837DC6">
              <w:rPr>
                <w:rFonts w:ascii="Calibri" w:hAnsi="Calibri" w:cs="Calibri"/>
                <w:sz w:val="19"/>
                <w:szCs w:val="19"/>
              </w:rPr>
              <w:t>Low Fail</w:t>
            </w:r>
          </w:p>
        </w:tc>
        <w:tc>
          <w:tcPr>
            <w:tcW w:w="308" w:type="pct"/>
            <w:shd w:val="clear" w:color="auto" w:fill="DDEBF7"/>
            <w:hideMark/>
          </w:tcPr>
          <w:p w14:paraId="471362C0" w14:textId="77777777" w:rsidR="007F7FEB" w:rsidRPr="00837DC6" w:rsidRDefault="007F7FEB" w:rsidP="00E659B0">
            <w:pPr>
              <w:rPr>
                <w:rFonts w:ascii="Calibri" w:hAnsi="Calibri" w:cs="Calibri"/>
                <w:sz w:val="19"/>
                <w:szCs w:val="19"/>
              </w:rPr>
            </w:pPr>
            <w:r w:rsidRPr="00837DC6">
              <w:rPr>
                <w:rFonts w:ascii="Calibri" w:hAnsi="Calibri" w:cs="Calibri"/>
                <w:sz w:val="19"/>
                <w:szCs w:val="19"/>
              </w:rPr>
              <w:t>Fail</w:t>
            </w:r>
          </w:p>
        </w:tc>
      </w:tr>
      <w:tr w:rsidR="004C76CF" w:rsidRPr="006F5DA5" w14:paraId="2A01909A" w14:textId="77777777" w:rsidTr="00E659B0">
        <w:trPr>
          <w:trHeight w:val="4884"/>
        </w:trPr>
        <w:tc>
          <w:tcPr>
            <w:tcW w:w="378" w:type="pct"/>
            <w:hideMark/>
          </w:tcPr>
          <w:p w14:paraId="79BA98E9" w14:textId="6758B090" w:rsidR="007F7FEB" w:rsidRPr="000C4D84" w:rsidRDefault="007F7FEB" w:rsidP="00E659B0">
            <w:pPr>
              <w:shd w:val="clear" w:color="auto" w:fill="FFFFFF"/>
              <w:spacing w:before="100" w:beforeAutospacing="1" w:after="90"/>
              <w:rPr>
                <w:rFonts w:cstheme="minorHAnsi"/>
                <w:color w:val="FF0000"/>
              </w:rPr>
            </w:pPr>
            <w:r w:rsidRPr="000C4D84">
              <w:rPr>
                <w:rFonts w:cstheme="minorHAnsi"/>
                <w:color w:val="FF0000"/>
              </w:rPr>
              <w:t xml:space="preserve">LO </w:t>
            </w:r>
            <w:r w:rsidR="00007C1B">
              <w:rPr>
                <w:rFonts w:cstheme="minorHAnsi"/>
                <w:color w:val="FF0000"/>
              </w:rPr>
              <w:t>1</w:t>
            </w:r>
          </w:p>
          <w:p w14:paraId="28F13156" w14:textId="77777777" w:rsidR="007F7FEB" w:rsidRPr="007F7FEB" w:rsidRDefault="007F7FEB" w:rsidP="00E659B0">
            <w:pPr>
              <w:shd w:val="clear" w:color="auto" w:fill="FFFFFF" w:themeFill="background1"/>
              <w:spacing w:before="100" w:beforeAutospacing="1" w:after="90"/>
              <w:rPr>
                <w:rFonts w:ascii="Calibri" w:hAnsi="Calibri" w:cs="Calibri"/>
                <w:b/>
                <w:bCs/>
                <w:i/>
                <w:iCs/>
                <w:color w:val="FF0000"/>
                <w:sz w:val="19"/>
                <w:szCs w:val="19"/>
              </w:rPr>
            </w:pPr>
            <w:r w:rsidRPr="007F7FEB">
              <w:rPr>
                <w:rFonts w:ascii="Calibri" w:hAnsi="Calibri" w:cs="Calibri"/>
                <w:b/>
                <w:bCs/>
                <w:i/>
                <w:iCs/>
                <w:color w:val="FF0000"/>
                <w:sz w:val="19"/>
                <w:szCs w:val="19"/>
              </w:rPr>
              <w:t>Select and critically evaluate the different factors that are pertinent to the security and usability of secure systems in their contexts of use </w:t>
            </w:r>
          </w:p>
          <w:p w14:paraId="52E55C77" w14:textId="11AAD9A1" w:rsidR="007F7FEB" w:rsidRPr="006F5DA5" w:rsidRDefault="007F7FEB" w:rsidP="00E659B0">
            <w:pPr>
              <w:shd w:val="clear" w:color="auto" w:fill="FFFFFF" w:themeFill="background1"/>
              <w:spacing w:before="100" w:beforeAutospacing="1" w:after="90"/>
              <w:rPr>
                <w:rFonts w:ascii="Calibri" w:hAnsi="Calibri" w:cs="Calibri"/>
                <w:b/>
                <w:bCs/>
                <w:i/>
                <w:iCs/>
                <w:color w:val="FF0000"/>
                <w:sz w:val="19"/>
                <w:szCs w:val="19"/>
              </w:rPr>
            </w:pPr>
          </w:p>
        </w:tc>
        <w:tc>
          <w:tcPr>
            <w:tcW w:w="505" w:type="pct"/>
            <w:hideMark/>
          </w:tcPr>
          <w:p w14:paraId="598E540E" w14:textId="36610496" w:rsidR="001840AE" w:rsidRPr="001840AE" w:rsidRDefault="00FA4FF2" w:rsidP="001840AE">
            <w:pPr>
              <w:rPr>
                <w:rFonts w:ascii="Calibri" w:hAnsi="Calibri" w:cs="Calibri"/>
                <w:color w:val="000000" w:themeColor="text1"/>
                <w:sz w:val="18"/>
                <w:szCs w:val="18"/>
              </w:rPr>
            </w:pPr>
            <w:r w:rsidRPr="003C6973">
              <w:rPr>
                <w:rFonts w:ascii="Calibri" w:hAnsi="Calibri" w:cs="Calibri"/>
                <w:color w:val="000000" w:themeColor="text1"/>
                <w:sz w:val="18"/>
                <w:szCs w:val="18"/>
              </w:rPr>
              <w:t>S1 (30%)</w:t>
            </w:r>
            <w:r w:rsidR="000542C1" w:rsidRPr="003C6973">
              <w:rPr>
                <w:rFonts w:ascii="Calibri" w:hAnsi="Calibri" w:cs="Calibri"/>
                <w:color w:val="000000" w:themeColor="text1"/>
                <w:sz w:val="18"/>
                <w:szCs w:val="18"/>
              </w:rPr>
              <w:t>:</w:t>
            </w:r>
            <w:r w:rsidR="00475F3B">
              <w:rPr>
                <w:rFonts w:ascii="Calibri" w:hAnsi="Calibri" w:cs="Calibri"/>
                <w:color w:val="000000" w:themeColor="text1"/>
                <w:sz w:val="18"/>
                <w:szCs w:val="18"/>
              </w:rPr>
              <w:t xml:space="preserve"> </w:t>
            </w:r>
            <w:r w:rsidR="001840AE" w:rsidRPr="001840AE">
              <w:rPr>
                <w:rFonts w:ascii="Segoe UI" w:hAnsi="Segoe UI" w:cs="Segoe UI"/>
                <w:color w:val="000000"/>
                <w:sz w:val="21"/>
                <w:szCs w:val="21"/>
              </w:rPr>
              <w:t xml:space="preserve"> </w:t>
            </w:r>
            <w:r w:rsidR="001840AE" w:rsidRPr="001840AE">
              <w:rPr>
                <w:rFonts w:ascii="Calibri" w:hAnsi="Calibri" w:cs="Calibri"/>
                <w:color w:val="000000" w:themeColor="text1"/>
                <w:sz w:val="18"/>
                <w:szCs w:val="18"/>
              </w:rPr>
              <w:t>You present a well-motivated online</w:t>
            </w:r>
            <w:r w:rsidR="001840AE" w:rsidRPr="001840AE">
              <w:rPr>
                <w:rFonts w:ascii="Calibri" w:hAnsi="Calibri" w:cs="Calibri"/>
                <w:color w:val="000000" w:themeColor="text1"/>
                <w:sz w:val="18"/>
                <w:szCs w:val="18"/>
              </w:rPr>
              <w:noBreakHyphen/>
              <w:t>banking context and discuss two flows—</w:t>
            </w:r>
            <w:r w:rsidR="001840AE" w:rsidRPr="001840AE">
              <w:rPr>
                <w:rFonts w:ascii="Calibri" w:hAnsi="Calibri" w:cs="Calibri"/>
                <w:b/>
                <w:bCs/>
                <w:color w:val="000000" w:themeColor="text1"/>
                <w:sz w:val="18"/>
                <w:szCs w:val="18"/>
              </w:rPr>
              <w:t>sending money</w:t>
            </w:r>
            <w:r w:rsidR="001840AE" w:rsidRPr="001840AE">
              <w:rPr>
                <w:rFonts w:ascii="Calibri" w:hAnsi="Calibri" w:cs="Calibri"/>
                <w:color w:val="000000" w:themeColor="text1"/>
                <w:sz w:val="18"/>
                <w:szCs w:val="18"/>
              </w:rPr>
              <w:t> and </w:t>
            </w:r>
            <w:r w:rsidR="001840AE" w:rsidRPr="001840AE">
              <w:rPr>
                <w:rFonts w:ascii="Calibri" w:hAnsi="Calibri" w:cs="Calibri"/>
                <w:b/>
                <w:bCs/>
                <w:color w:val="000000" w:themeColor="text1"/>
                <w:sz w:val="18"/>
                <w:szCs w:val="18"/>
              </w:rPr>
              <w:t>adding a payee</w:t>
            </w:r>
            <w:r w:rsidR="001840AE" w:rsidRPr="001840AE">
              <w:rPr>
                <w:rFonts w:ascii="Calibri" w:hAnsi="Calibri" w:cs="Calibri"/>
                <w:color w:val="000000" w:themeColor="text1"/>
                <w:sz w:val="18"/>
                <w:szCs w:val="18"/>
              </w:rPr>
              <w:t>—with</w:t>
            </w:r>
            <w:r w:rsidR="00A07D6A">
              <w:rPr>
                <w:rFonts w:ascii="Calibri" w:hAnsi="Calibri" w:cs="Calibri"/>
                <w:color w:val="000000" w:themeColor="text1"/>
                <w:sz w:val="18"/>
                <w:szCs w:val="18"/>
              </w:rPr>
              <w:t xml:space="preserve"> </w:t>
            </w:r>
            <w:r w:rsidR="001840AE" w:rsidRPr="001840AE">
              <w:rPr>
                <w:rFonts w:ascii="Calibri" w:hAnsi="Calibri" w:cs="Calibri"/>
                <w:color w:val="000000" w:themeColor="text1"/>
                <w:sz w:val="18"/>
                <w:szCs w:val="18"/>
              </w:rPr>
              <w:t>realistic </w:t>
            </w:r>
            <w:r w:rsidR="001840AE" w:rsidRPr="001840AE">
              <w:rPr>
                <w:rFonts w:ascii="Calibri" w:hAnsi="Calibri" w:cs="Calibri"/>
                <w:b/>
                <w:bCs/>
                <w:color w:val="000000" w:themeColor="text1"/>
                <w:sz w:val="18"/>
                <w:szCs w:val="18"/>
              </w:rPr>
              <w:t>system</w:t>
            </w:r>
            <w:r w:rsidR="001840AE" w:rsidRPr="001840AE">
              <w:rPr>
                <w:rFonts w:ascii="Calibri" w:hAnsi="Calibri" w:cs="Calibri"/>
                <w:color w:val="000000" w:themeColor="text1"/>
                <w:sz w:val="18"/>
                <w:szCs w:val="18"/>
              </w:rPr>
              <w:t>and </w:t>
            </w:r>
            <w:r w:rsidR="001840AE" w:rsidRPr="001840AE">
              <w:rPr>
                <w:rFonts w:ascii="Calibri" w:hAnsi="Calibri" w:cs="Calibri"/>
                <w:b/>
                <w:bCs/>
                <w:color w:val="000000" w:themeColor="text1"/>
                <w:sz w:val="18"/>
                <w:szCs w:val="18"/>
              </w:rPr>
              <w:t>external</w:t>
            </w:r>
            <w:r w:rsidR="001840AE" w:rsidRPr="001840AE">
              <w:rPr>
                <w:rFonts w:ascii="Calibri" w:hAnsi="Calibri" w:cs="Calibri"/>
                <w:color w:val="000000" w:themeColor="text1"/>
                <w:sz w:val="18"/>
                <w:szCs w:val="18"/>
              </w:rPr>
              <w:t> de</w:t>
            </w:r>
            <w:r w:rsidR="001840AE" w:rsidRPr="001840AE">
              <w:rPr>
                <w:rFonts w:ascii="Calibri" w:hAnsi="Calibri" w:cs="Calibri"/>
                <w:color w:val="000000" w:themeColor="text1"/>
                <w:sz w:val="18"/>
                <w:szCs w:val="18"/>
              </w:rPr>
              <w:noBreakHyphen/>
              <w:t>motivators (e.g., 16</w:t>
            </w:r>
            <w:r w:rsidR="001840AE" w:rsidRPr="001840AE">
              <w:rPr>
                <w:rFonts w:ascii="Calibri" w:hAnsi="Calibri" w:cs="Calibri"/>
                <w:color w:val="000000" w:themeColor="text1"/>
                <w:sz w:val="18"/>
                <w:szCs w:val="18"/>
              </w:rPr>
              <w:noBreakHyphen/>
              <w:t>digit manual entry; lack of recipient feedback; social pressure; attention limits). However, the brief expects </w:t>
            </w:r>
            <w:r w:rsidR="001840AE" w:rsidRPr="001840AE">
              <w:rPr>
                <w:rFonts w:ascii="Calibri" w:hAnsi="Calibri" w:cs="Calibri"/>
                <w:b/>
                <w:bCs/>
                <w:color w:val="000000" w:themeColor="text1"/>
                <w:sz w:val="18"/>
                <w:szCs w:val="18"/>
              </w:rPr>
              <w:t>one</w:t>
            </w:r>
            <w:r w:rsidR="001840AE" w:rsidRPr="001840AE">
              <w:rPr>
                <w:rFonts w:ascii="Calibri" w:hAnsi="Calibri" w:cs="Calibri"/>
                <w:color w:val="000000" w:themeColor="text1"/>
                <w:sz w:val="18"/>
                <w:szCs w:val="18"/>
              </w:rPr>
              <w:t> clearly defined usage scenario; here, the analysis alternates between the two and blurs focus. As a result, difficulty</w:t>
            </w:r>
            <w:r w:rsidR="001840AE" w:rsidRPr="001840AE">
              <w:rPr>
                <w:rFonts w:ascii="Calibri" w:hAnsi="Calibri" w:cs="Calibri"/>
                <w:color w:val="000000" w:themeColor="text1"/>
                <w:sz w:val="18"/>
                <w:szCs w:val="18"/>
              </w:rPr>
              <w:noBreakHyphen/>
              <w:t>of</w:t>
            </w:r>
            <w:r w:rsidR="001840AE" w:rsidRPr="001840AE">
              <w:rPr>
                <w:rFonts w:ascii="Calibri" w:hAnsi="Calibri" w:cs="Calibri"/>
                <w:color w:val="000000" w:themeColor="text1"/>
                <w:sz w:val="18"/>
                <w:szCs w:val="18"/>
              </w:rPr>
              <w:noBreakHyphen/>
              <w:t>use is not tied to a single task model, which weakens the causal link from usability frictions to </w:t>
            </w:r>
            <w:r w:rsidR="001840AE" w:rsidRPr="001840AE">
              <w:rPr>
                <w:rFonts w:ascii="Calibri" w:hAnsi="Calibri" w:cs="Calibri"/>
                <w:i/>
                <w:iCs/>
                <w:color w:val="000000" w:themeColor="text1"/>
                <w:sz w:val="18"/>
                <w:szCs w:val="18"/>
              </w:rPr>
              <w:t>security</w:t>
            </w:r>
            <w:r w:rsidR="001840AE" w:rsidRPr="001840AE">
              <w:rPr>
                <w:rFonts w:ascii="Calibri" w:hAnsi="Calibri" w:cs="Calibri"/>
                <w:color w:val="000000" w:themeColor="text1"/>
                <w:sz w:val="18"/>
                <w:szCs w:val="18"/>
              </w:rPr>
              <w:t> consequences for that specific flow.</w:t>
            </w:r>
            <w:r w:rsidR="00A07D6A" w:rsidRPr="001840AE">
              <w:rPr>
                <w:rFonts w:ascii="Calibri" w:hAnsi="Calibri" w:cs="Calibri"/>
                <w:color w:val="000000" w:themeColor="text1"/>
                <w:sz w:val="18"/>
                <w:szCs w:val="18"/>
              </w:rPr>
              <w:t xml:space="preserve"> </w:t>
            </w:r>
          </w:p>
          <w:p w14:paraId="14A304E5" w14:textId="77777777" w:rsidR="00A07D6A" w:rsidRDefault="00A07D6A" w:rsidP="001840AE">
            <w:pPr>
              <w:rPr>
                <w:rFonts w:ascii="Calibri" w:hAnsi="Calibri" w:cs="Calibri"/>
                <w:b/>
                <w:bCs/>
                <w:color w:val="000000" w:themeColor="text1"/>
                <w:sz w:val="18"/>
                <w:szCs w:val="18"/>
              </w:rPr>
            </w:pPr>
          </w:p>
          <w:p w14:paraId="443B9199" w14:textId="3345B7A5" w:rsidR="001840AE" w:rsidRPr="001840AE" w:rsidRDefault="001840AE" w:rsidP="001840AE">
            <w:pPr>
              <w:rPr>
                <w:rFonts w:ascii="Calibri" w:hAnsi="Calibri" w:cs="Calibri"/>
                <w:color w:val="000000" w:themeColor="text1"/>
                <w:sz w:val="18"/>
                <w:szCs w:val="18"/>
              </w:rPr>
            </w:pPr>
            <w:r w:rsidRPr="001840AE">
              <w:rPr>
                <w:rFonts w:ascii="Calibri" w:hAnsi="Calibri" w:cs="Calibri"/>
                <w:b/>
                <w:bCs/>
                <w:color w:val="000000" w:themeColor="text1"/>
                <w:sz w:val="18"/>
                <w:szCs w:val="18"/>
              </w:rPr>
              <w:t>What to improve in S1</w:t>
            </w:r>
          </w:p>
          <w:p w14:paraId="3C4D85BB" w14:textId="28A907EB" w:rsidR="001840AE" w:rsidRPr="001840AE" w:rsidRDefault="001840AE" w:rsidP="001840AE">
            <w:pPr>
              <w:numPr>
                <w:ilvl w:val="0"/>
                <w:numId w:val="15"/>
              </w:numPr>
              <w:rPr>
                <w:rFonts w:ascii="Calibri" w:hAnsi="Calibri" w:cs="Calibri"/>
                <w:color w:val="000000" w:themeColor="text1"/>
                <w:sz w:val="18"/>
                <w:szCs w:val="18"/>
              </w:rPr>
            </w:pPr>
            <w:r w:rsidRPr="001840AE">
              <w:rPr>
                <w:rFonts w:ascii="Calibri" w:hAnsi="Calibri" w:cs="Calibri"/>
                <w:b/>
                <w:bCs/>
                <w:color w:val="000000" w:themeColor="text1"/>
                <w:sz w:val="18"/>
                <w:szCs w:val="18"/>
              </w:rPr>
              <w:t>Commit to one scenario</w:t>
            </w:r>
            <w:r w:rsidRPr="001840AE">
              <w:rPr>
                <w:rFonts w:ascii="Calibri" w:hAnsi="Calibri" w:cs="Calibri"/>
                <w:color w:val="000000" w:themeColor="text1"/>
                <w:sz w:val="18"/>
                <w:szCs w:val="18"/>
              </w:rPr>
              <w:t>: either “send money to a new card” </w:t>
            </w:r>
            <w:r w:rsidRPr="001840AE">
              <w:rPr>
                <w:rFonts w:ascii="Calibri" w:hAnsi="Calibri" w:cs="Calibri"/>
                <w:b/>
                <w:bCs/>
                <w:color w:val="000000" w:themeColor="text1"/>
                <w:sz w:val="18"/>
                <w:szCs w:val="18"/>
              </w:rPr>
              <w:t>or</w:t>
            </w:r>
            <w:r w:rsidRPr="001840AE">
              <w:rPr>
                <w:rFonts w:ascii="Calibri" w:hAnsi="Calibri" w:cs="Calibri"/>
                <w:color w:val="000000" w:themeColor="text1"/>
                <w:sz w:val="18"/>
                <w:szCs w:val="18"/>
              </w:rPr>
              <w:t> “add a new payee.” State the scope in one sentence at the start of S1 and keep all S1 analysis inside that boundary.</w:t>
            </w:r>
            <w:r w:rsidRPr="001840AE">
              <w:rPr>
                <w:rFonts w:ascii="Calibri" w:hAnsi="Calibri" w:cs="Calibri"/>
                <w:color w:val="000000" w:themeColor="text1"/>
                <w:sz w:val="18"/>
                <w:szCs w:val="18"/>
              </w:rPr>
              <w:t xml:space="preserve"> </w:t>
            </w:r>
          </w:p>
          <w:p w14:paraId="2A575713" w14:textId="7DAC67F0" w:rsidR="001454EF" w:rsidRPr="001840AE" w:rsidRDefault="001840AE" w:rsidP="001840AE">
            <w:pPr>
              <w:numPr>
                <w:ilvl w:val="0"/>
                <w:numId w:val="15"/>
              </w:numPr>
              <w:rPr>
                <w:rFonts w:ascii="Calibri" w:hAnsi="Calibri" w:cs="Calibri"/>
                <w:color w:val="000000" w:themeColor="text1"/>
                <w:sz w:val="18"/>
                <w:szCs w:val="18"/>
              </w:rPr>
            </w:pPr>
            <w:r w:rsidRPr="001840AE">
              <w:rPr>
                <w:rFonts w:ascii="Calibri" w:hAnsi="Calibri" w:cs="Calibri"/>
                <w:b/>
                <w:bCs/>
                <w:color w:val="000000" w:themeColor="text1"/>
                <w:sz w:val="18"/>
                <w:szCs w:val="18"/>
              </w:rPr>
              <w:t>Tighten the chain</w:t>
            </w:r>
            <w:r w:rsidRPr="001840AE">
              <w:rPr>
                <w:rFonts w:ascii="Calibri" w:hAnsi="Calibri" w:cs="Calibri"/>
                <w:color w:val="000000" w:themeColor="text1"/>
                <w:sz w:val="18"/>
                <w:szCs w:val="18"/>
              </w:rPr>
              <w:t>: for each de</w:t>
            </w:r>
            <w:r w:rsidRPr="001840AE">
              <w:rPr>
                <w:rFonts w:ascii="Calibri" w:hAnsi="Calibri" w:cs="Calibri"/>
                <w:color w:val="000000" w:themeColor="text1"/>
                <w:sz w:val="18"/>
                <w:szCs w:val="18"/>
              </w:rPr>
              <w:noBreakHyphen/>
              <w:t>motivator, finish the paragraph with the </w:t>
            </w:r>
            <w:r w:rsidRPr="001840AE">
              <w:rPr>
                <w:rFonts w:ascii="Calibri" w:hAnsi="Calibri" w:cs="Calibri"/>
                <w:b/>
                <w:bCs/>
                <w:color w:val="000000" w:themeColor="text1"/>
                <w:sz w:val="18"/>
                <w:szCs w:val="18"/>
              </w:rPr>
              <w:t>security consequence</w:t>
            </w:r>
            <w:r w:rsidRPr="001840AE">
              <w:rPr>
                <w:rFonts w:ascii="Calibri" w:hAnsi="Calibri" w:cs="Calibri"/>
                <w:color w:val="000000" w:themeColor="text1"/>
                <w:sz w:val="18"/>
                <w:szCs w:val="18"/>
              </w:rPr>
              <w:t>, e.g., “Manual 16</w:t>
            </w:r>
            <w:r w:rsidRPr="001840AE">
              <w:rPr>
                <w:rFonts w:ascii="Calibri" w:hAnsi="Calibri" w:cs="Calibri"/>
                <w:color w:val="000000" w:themeColor="text1"/>
                <w:sz w:val="18"/>
                <w:szCs w:val="18"/>
              </w:rPr>
              <w:noBreakHyphen/>
              <w:t>digit entry (SDM1) → increased transcription mistakes → payments to the wrong recipient (confidentiality/integrity breach).”</w:t>
            </w:r>
            <w:r w:rsidRPr="001840AE">
              <w:rPr>
                <w:rFonts w:ascii="Calibri" w:hAnsi="Calibri" w:cs="Calibri"/>
                <w:color w:val="000000" w:themeColor="text1"/>
                <w:sz w:val="18"/>
                <w:szCs w:val="18"/>
              </w:rPr>
              <w:t xml:space="preserve"> </w:t>
            </w:r>
          </w:p>
          <w:p w14:paraId="5E0011B4" w14:textId="5A8890B6" w:rsidR="00FA4FF2" w:rsidRPr="003C6973" w:rsidRDefault="00FA4FF2" w:rsidP="00E659B0">
            <w:pPr>
              <w:rPr>
                <w:rFonts w:ascii="Calibri" w:hAnsi="Calibri" w:cs="Calibri"/>
                <w:color w:val="000000" w:themeColor="text1"/>
                <w:sz w:val="18"/>
                <w:szCs w:val="18"/>
              </w:rPr>
            </w:pPr>
          </w:p>
          <w:p w14:paraId="1EE48C58" w14:textId="187162FA" w:rsidR="001840AE" w:rsidRPr="001840AE" w:rsidRDefault="00FA4FF2" w:rsidP="001840AE">
            <w:pPr>
              <w:rPr>
                <w:rFonts w:ascii="Calibri" w:hAnsi="Calibri" w:cs="Calibri"/>
                <w:color w:val="000000" w:themeColor="text1"/>
                <w:sz w:val="18"/>
                <w:szCs w:val="18"/>
              </w:rPr>
            </w:pPr>
            <w:r w:rsidRPr="003C6973">
              <w:rPr>
                <w:rFonts w:ascii="Calibri" w:hAnsi="Calibri" w:cs="Calibri"/>
                <w:color w:val="000000" w:themeColor="text1"/>
                <w:sz w:val="18"/>
                <w:szCs w:val="18"/>
              </w:rPr>
              <w:t>S2 (30%)</w:t>
            </w:r>
            <w:r w:rsidR="000542C1" w:rsidRPr="003C6973">
              <w:rPr>
                <w:rFonts w:ascii="Calibri" w:hAnsi="Calibri" w:cs="Calibri"/>
                <w:color w:val="000000" w:themeColor="text1"/>
                <w:sz w:val="18"/>
                <w:szCs w:val="18"/>
              </w:rPr>
              <w:t>:</w:t>
            </w:r>
            <w:r w:rsidR="001840AE">
              <w:rPr>
                <w:rFonts w:ascii="Calibri" w:hAnsi="Calibri" w:cs="Calibri"/>
                <w:color w:val="000000" w:themeColor="text1"/>
                <w:sz w:val="18"/>
                <w:szCs w:val="18"/>
              </w:rPr>
              <w:t xml:space="preserve"> </w:t>
            </w:r>
            <w:r w:rsidR="001840AE" w:rsidRPr="001840AE">
              <w:rPr>
                <w:rFonts w:ascii="Segoe UI" w:hAnsi="Segoe UI" w:cs="Segoe UI"/>
                <w:color w:val="000000"/>
                <w:sz w:val="21"/>
                <w:szCs w:val="21"/>
              </w:rPr>
              <w:t xml:space="preserve"> </w:t>
            </w:r>
            <w:r w:rsidR="001840AE" w:rsidRPr="001840AE">
              <w:rPr>
                <w:rFonts w:ascii="Calibri" w:hAnsi="Calibri" w:cs="Calibri"/>
                <w:color w:val="000000" w:themeColor="text1"/>
                <w:sz w:val="18"/>
                <w:szCs w:val="18"/>
              </w:rPr>
              <w:t>Your narrative correctly highlights a </w:t>
            </w:r>
            <w:r w:rsidR="001840AE" w:rsidRPr="001840AE">
              <w:rPr>
                <w:rFonts w:ascii="Calibri" w:hAnsi="Calibri" w:cs="Calibri"/>
                <w:b/>
                <w:bCs/>
                <w:color w:val="000000" w:themeColor="text1"/>
                <w:sz w:val="18"/>
                <w:szCs w:val="18"/>
              </w:rPr>
              <w:t>mistyped</w:t>
            </w:r>
            <w:r w:rsidR="001840AE" w:rsidRPr="001840AE">
              <w:rPr>
                <w:rFonts w:ascii="Calibri" w:hAnsi="Calibri" w:cs="Calibri"/>
                <w:b/>
                <w:bCs/>
                <w:color w:val="000000" w:themeColor="text1"/>
                <w:sz w:val="18"/>
                <w:szCs w:val="18"/>
              </w:rPr>
              <w:noBreakHyphen/>
              <w:t>card</w:t>
            </w:r>
            <w:r w:rsidR="001840AE" w:rsidRPr="001840AE">
              <w:rPr>
                <w:rFonts w:ascii="Calibri" w:hAnsi="Calibri" w:cs="Calibri"/>
                <w:b/>
                <w:bCs/>
                <w:color w:val="000000" w:themeColor="text1"/>
                <w:sz w:val="18"/>
                <w:szCs w:val="18"/>
              </w:rPr>
              <w:noBreakHyphen/>
              <w:t>number</w:t>
            </w:r>
            <w:r w:rsidR="001840AE" w:rsidRPr="001840AE">
              <w:rPr>
                <w:rFonts w:ascii="Calibri" w:hAnsi="Calibri" w:cs="Calibri"/>
                <w:color w:val="000000" w:themeColor="text1"/>
                <w:sz w:val="18"/>
                <w:szCs w:val="18"/>
              </w:rPr>
              <w:t> risk and lists </w:t>
            </w:r>
            <w:r w:rsidR="001840AE" w:rsidRPr="001840AE">
              <w:rPr>
                <w:rFonts w:ascii="Calibri" w:hAnsi="Calibri" w:cs="Calibri"/>
                <w:b/>
                <w:bCs/>
                <w:color w:val="000000" w:themeColor="text1"/>
                <w:sz w:val="18"/>
                <w:szCs w:val="18"/>
              </w:rPr>
              <w:t>system</w:t>
            </w:r>
            <w:r w:rsidR="001840AE" w:rsidRPr="001840AE">
              <w:rPr>
                <w:rFonts w:ascii="Calibri" w:hAnsi="Calibri" w:cs="Calibri"/>
                <w:color w:val="000000" w:themeColor="text1"/>
                <w:sz w:val="18"/>
                <w:szCs w:val="18"/>
              </w:rPr>
              <w:t>/</w:t>
            </w:r>
            <w:r w:rsidR="001840AE" w:rsidRPr="001840AE">
              <w:rPr>
                <w:rFonts w:ascii="Calibri" w:hAnsi="Calibri" w:cs="Calibri"/>
                <w:b/>
                <w:bCs/>
                <w:color w:val="000000" w:themeColor="text1"/>
                <w:sz w:val="18"/>
                <w:szCs w:val="18"/>
              </w:rPr>
              <w:t>external</w:t>
            </w:r>
            <w:r w:rsidR="001840AE" w:rsidRPr="001840AE">
              <w:rPr>
                <w:rFonts w:ascii="Calibri" w:hAnsi="Calibri" w:cs="Calibri"/>
                <w:color w:val="000000" w:themeColor="text1"/>
                <w:sz w:val="18"/>
                <w:szCs w:val="18"/>
              </w:rPr>
              <w:t> motivators (SM1–SM3; EM1–EM3). However, the </w:t>
            </w:r>
            <w:r w:rsidR="001840AE" w:rsidRPr="001840AE">
              <w:rPr>
                <w:rFonts w:ascii="Calibri" w:hAnsi="Calibri" w:cs="Calibri"/>
                <w:b/>
                <w:bCs/>
                <w:color w:val="000000" w:themeColor="text1"/>
                <w:sz w:val="18"/>
                <w:szCs w:val="18"/>
              </w:rPr>
              <w:t>threat scenario itself is implied rather than explicitly defined</w:t>
            </w:r>
            <w:r w:rsidR="001840AE" w:rsidRPr="001840AE">
              <w:rPr>
                <w:rFonts w:ascii="Calibri" w:hAnsi="Calibri" w:cs="Calibri"/>
                <w:color w:val="000000" w:themeColor="text1"/>
                <w:sz w:val="18"/>
                <w:szCs w:val="18"/>
              </w:rPr>
              <w:t>. The brief expects a short, concrete statement describing </w:t>
            </w:r>
            <w:r w:rsidR="001840AE" w:rsidRPr="001840AE">
              <w:rPr>
                <w:rFonts w:ascii="Calibri" w:hAnsi="Calibri" w:cs="Calibri"/>
                <w:b/>
                <w:bCs/>
                <w:color w:val="000000" w:themeColor="text1"/>
                <w:sz w:val="18"/>
                <w:szCs w:val="18"/>
              </w:rPr>
              <w:t>actor → action → asset → outcome</w:t>
            </w:r>
            <w:r w:rsidR="001840AE" w:rsidRPr="001840AE">
              <w:rPr>
                <w:rFonts w:ascii="Calibri" w:hAnsi="Calibri" w:cs="Calibri"/>
                <w:color w:val="000000" w:themeColor="text1"/>
                <w:sz w:val="18"/>
                <w:szCs w:val="18"/>
              </w:rPr>
              <w:t> (and ideally, a micro-journey). Without this, the mapping to Kainda factors reads as analysis without a clearly framed threat. </w:t>
            </w:r>
            <w:hyperlink r:id="rId10" w:history="1">
              <w:r w:rsidR="001840AE" w:rsidRPr="001840AE">
                <w:rPr>
                  <w:rStyle w:val="Hyperlink"/>
                  <w:rFonts w:ascii="Calibri" w:hAnsi="Calibri" w:cs="Calibri"/>
                  <w:sz w:val="18"/>
                  <w:szCs w:val="18"/>
                </w:rPr>
                <w:t>[wm241 - 56...1_u5602780 | PDF]</w:t>
              </w:r>
            </w:hyperlink>
          </w:p>
          <w:p w14:paraId="593076AD" w14:textId="77777777" w:rsidR="00A07D6A" w:rsidRDefault="00A07D6A" w:rsidP="001840AE">
            <w:pPr>
              <w:rPr>
                <w:rFonts w:ascii="Calibri" w:hAnsi="Calibri" w:cs="Calibri"/>
                <w:b/>
                <w:bCs/>
                <w:color w:val="000000" w:themeColor="text1"/>
                <w:sz w:val="18"/>
                <w:szCs w:val="18"/>
              </w:rPr>
            </w:pPr>
          </w:p>
          <w:p w14:paraId="40E8D463" w14:textId="29DE88BD" w:rsidR="001840AE" w:rsidRPr="001840AE" w:rsidRDefault="001840AE" w:rsidP="001840AE">
            <w:pPr>
              <w:rPr>
                <w:rFonts w:ascii="Calibri" w:hAnsi="Calibri" w:cs="Calibri"/>
                <w:color w:val="000000" w:themeColor="text1"/>
                <w:sz w:val="18"/>
                <w:szCs w:val="18"/>
              </w:rPr>
            </w:pPr>
            <w:r w:rsidRPr="001840AE">
              <w:rPr>
                <w:rFonts w:ascii="Calibri" w:hAnsi="Calibri" w:cs="Calibri"/>
                <w:b/>
                <w:bCs/>
                <w:color w:val="000000" w:themeColor="text1"/>
                <w:sz w:val="18"/>
                <w:szCs w:val="18"/>
              </w:rPr>
              <w:t>What to improve in S2</w:t>
            </w:r>
          </w:p>
          <w:p w14:paraId="3F28B5F1" w14:textId="32CAA09E" w:rsidR="001840AE" w:rsidRPr="001840AE" w:rsidRDefault="001840AE" w:rsidP="001840AE">
            <w:pPr>
              <w:numPr>
                <w:ilvl w:val="0"/>
                <w:numId w:val="16"/>
              </w:numPr>
              <w:rPr>
                <w:rFonts w:ascii="Calibri" w:hAnsi="Calibri" w:cs="Calibri"/>
                <w:color w:val="000000" w:themeColor="text1"/>
                <w:sz w:val="18"/>
                <w:szCs w:val="18"/>
              </w:rPr>
            </w:pPr>
            <w:r w:rsidRPr="001840AE">
              <w:rPr>
                <w:rFonts w:ascii="Calibri" w:hAnsi="Calibri" w:cs="Calibri"/>
                <w:b/>
                <w:bCs/>
                <w:color w:val="000000" w:themeColor="text1"/>
                <w:sz w:val="18"/>
                <w:szCs w:val="18"/>
              </w:rPr>
              <w:t>Declare the threat in one line</w:t>
            </w:r>
            <w:r w:rsidRPr="001840AE">
              <w:rPr>
                <w:rFonts w:ascii="Calibri" w:hAnsi="Calibri" w:cs="Calibri"/>
                <w:color w:val="000000" w:themeColor="text1"/>
                <w:sz w:val="18"/>
                <w:szCs w:val="18"/>
              </w:rPr>
              <w:t> (example the student can adopt):</w:t>
            </w:r>
            <w:r w:rsidRPr="001840AE">
              <w:rPr>
                <w:rFonts w:ascii="Calibri" w:hAnsi="Calibri" w:cs="Calibri"/>
                <w:color w:val="000000" w:themeColor="text1"/>
                <w:sz w:val="18"/>
                <w:szCs w:val="18"/>
              </w:rPr>
              <w:br/>
            </w:r>
            <w:r w:rsidRPr="001840AE">
              <w:rPr>
                <w:rFonts w:ascii="Calibri" w:hAnsi="Calibri" w:cs="Calibri"/>
                <w:i/>
                <w:iCs/>
                <w:color w:val="000000" w:themeColor="text1"/>
                <w:sz w:val="18"/>
                <w:szCs w:val="18"/>
              </w:rPr>
              <w:lastRenderedPageBreak/>
              <w:t>“Under time pressure, a legitimate user manually enters a 16</w:t>
            </w:r>
            <w:r w:rsidRPr="001840AE">
              <w:rPr>
                <w:rFonts w:ascii="Calibri" w:hAnsi="Calibri" w:cs="Calibri"/>
                <w:i/>
                <w:iCs/>
                <w:color w:val="000000" w:themeColor="text1"/>
                <w:sz w:val="18"/>
                <w:szCs w:val="18"/>
              </w:rPr>
              <w:noBreakHyphen/>
              <w:t>digit card number and, due to absent recipient feedback and confirmation, </w:t>
            </w:r>
            <w:r w:rsidRPr="001840AE">
              <w:rPr>
                <w:rFonts w:ascii="Calibri" w:hAnsi="Calibri" w:cs="Calibri"/>
                <w:b/>
                <w:bCs/>
                <w:i/>
                <w:iCs/>
                <w:color w:val="000000" w:themeColor="text1"/>
                <w:sz w:val="18"/>
                <w:szCs w:val="18"/>
              </w:rPr>
              <w:t>sends funds to a wrong but valid card</w:t>
            </w:r>
            <w:r w:rsidRPr="001840AE">
              <w:rPr>
                <w:rFonts w:ascii="Calibri" w:hAnsi="Calibri" w:cs="Calibri"/>
                <w:i/>
                <w:iCs/>
                <w:color w:val="000000" w:themeColor="text1"/>
                <w:sz w:val="18"/>
                <w:szCs w:val="18"/>
              </w:rPr>
              <w:t> (integrity &amp; financial loss).”</w:t>
            </w:r>
            <w:r w:rsidRPr="001840AE">
              <w:rPr>
                <w:rFonts w:ascii="Calibri" w:hAnsi="Calibri" w:cs="Calibri"/>
                <w:color w:val="000000" w:themeColor="text1"/>
                <w:sz w:val="18"/>
                <w:szCs w:val="18"/>
              </w:rPr>
              <w:t xml:space="preserve"> </w:t>
            </w:r>
          </w:p>
          <w:p w14:paraId="17D8A3DD" w14:textId="52A1C56D" w:rsidR="001840AE" w:rsidRPr="001840AE" w:rsidRDefault="001840AE" w:rsidP="001840AE">
            <w:pPr>
              <w:numPr>
                <w:ilvl w:val="0"/>
                <w:numId w:val="16"/>
              </w:numPr>
              <w:rPr>
                <w:rFonts w:ascii="Calibri" w:hAnsi="Calibri" w:cs="Calibri"/>
                <w:color w:val="000000" w:themeColor="text1"/>
                <w:sz w:val="18"/>
                <w:szCs w:val="18"/>
              </w:rPr>
            </w:pPr>
            <w:r w:rsidRPr="001840AE">
              <w:rPr>
                <w:rFonts w:ascii="Calibri" w:hAnsi="Calibri" w:cs="Calibri"/>
                <w:b/>
                <w:bCs/>
                <w:color w:val="000000" w:themeColor="text1"/>
                <w:sz w:val="18"/>
                <w:szCs w:val="18"/>
              </w:rPr>
              <w:t>Add a 5–6 step micro</w:t>
            </w:r>
            <w:r w:rsidRPr="001840AE">
              <w:rPr>
                <w:rFonts w:ascii="Calibri" w:hAnsi="Calibri" w:cs="Calibri"/>
                <w:b/>
                <w:bCs/>
                <w:color w:val="000000" w:themeColor="text1"/>
                <w:sz w:val="18"/>
                <w:szCs w:val="18"/>
              </w:rPr>
              <w:noBreakHyphen/>
              <w:t>journey</w:t>
            </w:r>
            <w:r w:rsidRPr="001840AE">
              <w:rPr>
                <w:rFonts w:ascii="Calibri" w:hAnsi="Calibri" w:cs="Calibri"/>
                <w:color w:val="000000" w:themeColor="text1"/>
                <w:sz w:val="18"/>
                <w:szCs w:val="18"/>
              </w:rPr>
              <w:t> to ground plausibility (e.g., open transfer → type digits → no name shown → ‘Confirm’ by habit → transfer succeeds → only then realise the mistake). This supports later metrics and prioritisation.</w:t>
            </w:r>
            <w:r w:rsidRPr="001840AE">
              <w:rPr>
                <w:rFonts w:ascii="Calibri" w:hAnsi="Calibri" w:cs="Calibri"/>
                <w:color w:val="000000" w:themeColor="text1"/>
                <w:sz w:val="18"/>
                <w:szCs w:val="18"/>
              </w:rPr>
              <w:t xml:space="preserve"> </w:t>
            </w:r>
          </w:p>
          <w:p w14:paraId="05264D7A" w14:textId="179BB288" w:rsidR="00746C78" w:rsidRPr="00A42056" w:rsidRDefault="00746C78" w:rsidP="00E659B0">
            <w:pPr>
              <w:rPr>
                <w:rFonts w:asciiTheme="minorHAnsi" w:hAnsiTheme="minorHAnsi" w:cstheme="minorHAnsi"/>
                <w:color w:val="000000" w:themeColor="text1"/>
                <w:sz w:val="18"/>
                <w:szCs w:val="18"/>
              </w:rPr>
            </w:pPr>
          </w:p>
          <w:p w14:paraId="73360FDE" w14:textId="5E8C7F65" w:rsidR="00475F3B" w:rsidRDefault="00FA4FF2" w:rsidP="001454EF">
            <w:pPr>
              <w:rPr>
                <w:rFonts w:asciiTheme="minorHAnsi" w:hAnsiTheme="minorHAnsi" w:cstheme="minorHAnsi"/>
                <w:color w:val="000000"/>
                <w:sz w:val="18"/>
                <w:szCs w:val="18"/>
              </w:rPr>
            </w:pPr>
            <w:r w:rsidRPr="00A42056">
              <w:rPr>
                <w:rFonts w:asciiTheme="minorHAnsi" w:hAnsiTheme="minorHAnsi" w:cstheme="minorHAnsi"/>
                <w:color w:val="000000" w:themeColor="text1"/>
                <w:sz w:val="18"/>
                <w:szCs w:val="18"/>
              </w:rPr>
              <w:t>S3 (40%)</w:t>
            </w:r>
            <w:r w:rsidR="000542C1" w:rsidRPr="00A42056">
              <w:rPr>
                <w:rFonts w:asciiTheme="minorHAnsi" w:hAnsiTheme="minorHAnsi" w:cstheme="minorHAnsi"/>
                <w:color w:val="000000" w:themeColor="text1"/>
                <w:sz w:val="18"/>
                <w:szCs w:val="18"/>
              </w:rPr>
              <w:t>:</w:t>
            </w:r>
            <w:r w:rsidR="001454EF" w:rsidRPr="00A42056">
              <w:rPr>
                <w:rFonts w:asciiTheme="minorHAnsi" w:hAnsiTheme="minorHAnsi" w:cstheme="minorHAnsi"/>
                <w:color w:val="000000"/>
                <w:sz w:val="18"/>
                <w:szCs w:val="18"/>
              </w:rPr>
              <w:t xml:space="preserve"> </w:t>
            </w:r>
            <w:r w:rsidR="00475F3B">
              <w:rPr>
                <w:rFonts w:asciiTheme="minorHAnsi" w:hAnsiTheme="minorHAnsi" w:cstheme="minorHAnsi"/>
                <w:color w:val="000000"/>
                <w:sz w:val="18"/>
                <w:szCs w:val="18"/>
              </w:rPr>
              <w:t xml:space="preserve">Your </w:t>
            </w:r>
            <w:r w:rsidR="00475F3B" w:rsidRPr="00475F3B">
              <w:rPr>
                <w:rFonts w:asciiTheme="minorHAnsi" w:hAnsiTheme="minorHAnsi" w:cstheme="minorHAnsi"/>
                <w:color w:val="000000"/>
                <w:sz w:val="18"/>
                <w:szCs w:val="18"/>
              </w:rPr>
              <w:t xml:space="preserve">recommendations are practical and coherent with risks identified. Risk matrix maps motivators and demotivators but quantifications </w:t>
            </w:r>
            <w:proofErr w:type="gramStart"/>
            <w:r w:rsidR="00475F3B" w:rsidRPr="00475F3B">
              <w:rPr>
                <w:rFonts w:asciiTheme="minorHAnsi" w:hAnsiTheme="minorHAnsi" w:cstheme="minorHAnsi"/>
                <w:color w:val="000000"/>
                <w:sz w:val="18"/>
                <w:szCs w:val="18"/>
              </w:rPr>
              <w:t>is</w:t>
            </w:r>
            <w:proofErr w:type="gramEnd"/>
            <w:r w:rsidR="00475F3B" w:rsidRPr="00475F3B">
              <w:rPr>
                <w:rFonts w:asciiTheme="minorHAnsi" w:hAnsiTheme="minorHAnsi" w:cstheme="minorHAnsi"/>
                <w:color w:val="000000"/>
                <w:sz w:val="18"/>
                <w:szCs w:val="18"/>
              </w:rPr>
              <w:t xml:space="preserve"> missing. </w:t>
            </w:r>
          </w:p>
          <w:p w14:paraId="2843FC3E" w14:textId="77777777" w:rsidR="001840AE" w:rsidRDefault="001840AE" w:rsidP="001454EF">
            <w:pPr>
              <w:rPr>
                <w:rFonts w:asciiTheme="minorHAnsi" w:hAnsiTheme="minorHAnsi" w:cstheme="minorHAnsi"/>
                <w:color w:val="000000"/>
                <w:sz w:val="18"/>
                <w:szCs w:val="18"/>
              </w:rPr>
            </w:pPr>
          </w:p>
          <w:p w14:paraId="5587B0AA" w14:textId="4A75F255" w:rsidR="001840AE" w:rsidRDefault="001840AE" w:rsidP="001840AE">
            <w:pPr>
              <w:rPr>
                <w:rFonts w:asciiTheme="minorHAnsi" w:hAnsiTheme="minorHAnsi" w:cstheme="minorHAnsi"/>
                <w:color w:val="000000"/>
                <w:sz w:val="18"/>
                <w:szCs w:val="18"/>
              </w:rPr>
            </w:pPr>
            <w:r w:rsidRPr="001840AE">
              <w:rPr>
                <w:rFonts w:asciiTheme="minorHAnsi" w:hAnsiTheme="minorHAnsi" w:cstheme="minorHAnsi"/>
                <w:color w:val="000000"/>
                <w:sz w:val="18"/>
                <w:szCs w:val="18"/>
              </w:rPr>
              <w:t>You identify </w:t>
            </w:r>
            <w:r w:rsidRPr="001840AE">
              <w:rPr>
                <w:rFonts w:asciiTheme="minorHAnsi" w:hAnsiTheme="minorHAnsi" w:cstheme="minorHAnsi"/>
                <w:b/>
                <w:bCs/>
                <w:color w:val="000000"/>
                <w:sz w:val="18"/>
                <w:szCs w:val="18"/>
              </w:rPr>
              <w:t>high</w:t>
            </w:r>
            <w:r w:rsidRPr="001840AE">
              <w:rPr>
                <w:rFonts w:asciiTheme="minorHAnsi" w:hAnsiTheme="minorHAnsi" w:cstheme="minorHAnsi"/>
                <w:b/>
                <w:bCs/>
                <w:color w:val="000000"/>
                <w:sz w:val="18"/>
                <w:szCs w:val="18"/>
              </w:rPr>
              <w:noBreakHyphen/>
              <w:t>risk motivators/de</w:t>
            </w:r>
            <w:r w:rsidRPr="001840AE">
              <w:rPr>
                <w:rFonts w:asciiTheme="minorHAnsi" w:hAnsiTheme="minorHAnsi" w:cstheme="minorHAnsi"/>
                <w:b/>
                <w:bCs/>
                <w:color w:val="000000"/>
                <w:sz w:val="18"/>
                <w:szCs w:val="18"/>
              </w:rPr>
              <w:noBreakHyphen/>
              <w:t>motivators</w:t>
            </w:r>
            <w:r w:rsidRPr="001840AE">
              <w:rPr>
                <w:rFonts w:asciiTheme="minorHAnsi" w:hAnsiTheme="minorHAnsi" w:cstheme="minorHAnsi"/>
                <w:color w:val="000000"/>
                <w:sz w:val="18"/>
                <w:szCs w:val="18"/>
              </w:rPr>
              <w:t> credibly and propose </w:t>
            </w:r>
            <w:r w:rsidRPr="001840AE">
              <w:rPr>
                <w:rFonts w:asciiTheme="minorHAnsi" w:hAnsiTheme="minorHAnsi" w:cstheme="minorHAnsi"/>
                <w:b/>
                <w:bCs/>
                <w:color w:val="000000"/>
                <w:sz w:val="18"/>
                <w:szCs w:val="18"/>
              </w:rPr>
              <w:t>practical, coherent interventions</w:t>
            </w:r>
            <w:r w:rsidRPr="001840AE">
              <w:rPr>
                <w:rFonts w:asciiTheme="minorHAnsi" w:hAnsiTheme="minorHAnsi" w:cstheme="minorHAnsi"/>
                <w:color w:val="000000"/>
                <w:sz w:val="18"/>
                <w:szCs w:val="18"/>
              </w:rPr>
              <w:t> (confirmation step; recipient name display; QR transfers). That alignment is strong. However, the current </w:t>
            </w:r>
            <w:r w:rsidRPr="001840AE">
              <w:rPr>
                <w:rFonts w:asciiTheme="minorHAnsi" w:hAnsiTheme="minorHAnsi" w:cstheme="minorHAnsi"/>
                <w:b/>
                <w:bCs/>
                <w:color w:val="000000"/>
                <w:sz w:val="18"/>
                <w:szCs w:val="18"/>
              </w:rPr>
              <w:t>risk matrix is</w:t>
            </w:r>
            <w:r w:rsidR="00A07D6A">
              <w:rPr>
                <w:rFonts w:asciiTheme="minorHAnsi" w:hAnsiTheme="minorHAnsi" w:cstheme="minorHAnsi"/>
                <w:b/>
                <w:bCs/>
                <w:color w:val="000000"/>
                <w:sz w:val="18"/>
                <w:szCs w:val="18"/>
              </w:rPr>
              <w:t xml:space="preserve"> </w:t>
            </w:r>
            <w:r w:rsidRPr="001840AE">
              <w:rPr>
                <w:rFonts w:asciiTheme="minorHAnsi" w:hAnsiTheme="minorHAnsi" w:cstheme="minorHAnsi"/>
                <w:b/>
                <w:bCs/>
                <w:color w:val="000000"/>
                <w:sz w:val="18"/>
                <w:szCs w:val="18"/>
              </w:rPr>
              <w:t>qualitative</w:t>
            </w:r>
            <w:r w:rsidRPr="001840AE">
              <w:rPr>
                <w:rFonts w:asciiTheme="minorHAnsi" w:hAnsiTheme="minorHAnsi" w:cstheme="minorHAnsi"/>
                <w:color w:val="000000"/>
                <w:sz w:val="18"/>
                <w:szCs w:val="18"/>
              </w:rPr>
              <w:t> (low/moderate/high cells) and </w:t>
            </w:r>
            <w:r w:rsidRPr="001840AE">
              <w:rPr>
                <w:rFonts w:asciiTheme="minorHAnsi" w:hAnsiTheme="minorHAnsi" w:cstheme="minorHAnsi"/>
                <w:b/>
                <w:bCs/>
                <w:color w:val="000000"/>
                <w:sz w:val="18"/>
                <w:szCs w:val="18"/>
              </w:rPr>
              <w:t>no numerical scales</w:t>
            </w:r>
            <w:r w:rsidRPr="001840AE">
              <w:rPr>
                <w:rFonts w:asciiTheme="minorHAnsi" w:hAnsiTheme="minorHAnsi" w:cstheme="minorHAnsi"/>
                <w:color w:val="000000"/>
                <w:sz w:val="18"/>
                <w:szCs w:val="18"/>
              </w:rPr>
              <w:t> (likelihood/impact) or thresholds are defined</w:t>
            </w:r>
            <w:r>
              <w:rPr>
                <w:rFonts w:asciiTheme="minorHAnsi" w:hAnsiTheme="minorHAnsi" w:cstheme="minorHAnsi"/>
                <w:color w:val="000000"/>
                <w:sz w:val="18"/>
                <w:szCs w:val="18"/>
              </w:rPr>
              <w:t>.</w:t>
            </w:r>
          </w:p>
          <w:p w14:paraId="7D763665" w14:textId="77777777" w:rsidR="001840AE" w:rsidRPr="001840AE" w:rsidRDefault="001840AE" w:rsidP="001840AE">
            <w:pPr>
              <w:rPr>
                <w:rFonts w:asciiTheme="minorHAnsi" w:hAnsiTheme="minorHAnsi" w:cstheme="minorHAnsi"/>
                <w:color w:val="000000"/>
                <w:sz w:val="18"/>
                <w:szCs w:val="18"/>
              </w:rPr>
            </w:pPr>
          </w:p>
          <w:p w14:paraId="51915CEC" w14:textId="77777777" w:rsidR="001840AE" w:rsidRPr="001840AE" w:rsidRDefault="001840AE" w:rsidP="001840AE">
            <w:pPr>
              <w:rPr>
                <w:rFonts w:asciiTheme="minorHAnsi" w:hAnsiTheme="minorHAnsi" w:cstheme="minorHAnsi"/>
                <w:color w:val="000000"/>
                <w:sz w:val="18"/>
                <w:szCs w:val="18"/>
              </w:rPr>
            </w:pPr>
            <w:r w:rsidRPr="001840AE">
              <w:rPr>
                <w:rFonts w:asciiTheme="minorHAnsi" w:hAnsiTheme="minorHAnsi" w:cstheme="minorHAnsi"/>
                <w:b/>
                <w:bCs/>
                <w:color w:val="000000"/>
                <w:sz w:val="18"/>
                <w:szCs w:val="18"/>
              </w:rPr>
              <w:t>What to improve in S3</w:t>
            </w:r>
          </w:p>
          <w:p w14:paraId="50A6AA8B" w14:textId="22E50BEE" w:rsidR="001840AE" w:rsidRPr="001840AE" w:rsidRDefault="001840AE" w:rsidP="001840AE">
            <w:pPr>
              <w:numPr>
                <w:ilvl w:val="0"/>
                <w:numId w:val="17"/>
              </w:numPr>
              <w:rPr>
                <w:rFonts w:asciiTheme="minorHAnsi" w:hAnsiTheme="minorHAnsi" w:cstheme="minorHAnsi"/>
                <w:color w:val="000000"/>
                <w:sz w:val="18"/>
                <w:szCs w:val="18"/>
              </w:rPr>
            </w:pPr>
            <w:r w:rsidRPr="001840AE">
              <w:rPr>
                <w:rFonts w:asciiTheme="minorHAnsi" w:hAnsiTheme="minorHAnsi" w:cstheme="minorHAnsi"/>
                <w:b/>
                <w:bCs/>
                <w:color w:val="000000"/>
                <w:sz w:val="18"/>
                <w:szCs w:val="18"/>
              </w:rPr>
              <w:t>Add scoring scales</w:t>
            </w:r>
            <w:r w:rsidRPr="001840AE">
              <w:rPr>
                <w:rFonts w:asciiTheme="minorHAnsi" w:hAnsiTheme="minorHAnsi" w:cstheme="minorHAnsi"/>
                <w:color w:val="000000"/>
                <w:sz w:val="18"/>
                <w:szCs w:val="18"/>
              </w:rPr>
              <w:t xml:space="preserve"> (e.g., Likelihood 1–5: </w:t>
            </w:r>
            <w:proofErr w:type="spellStart"/>
            <w:r w:rsidRPr="001840AE">
              <w:rPr>
                <w:rFonts w:asciiTheme="minorHAnsi" w:hAnsiTheme="minorHAnsi" w:cstheme="minorHAnsi"/>
                <w:color w:val="000000"/>
                <w:sz w:val="18"/>
                <w:szCs w:val="18"/>
              </w:rPr>
              <w:t>Rare→Certain</w:t>
            </w:r>
            <w:proofErr w:type="spellEnd"/>
            <w:r w:rsidRPr="001840AE">
              <w:rPr>
                <w:rFonts w:asciiTheme="minorHAnsi" w:hAnsiTheme="minorHAnsi" w:cstheme="minorHAnsi"/>
                <w:color w:val="000000"/>
                <w:sz w:val="18"/>
                <w:szCs w:val="18"/>
              </w:rPr>
              <w:t xml:space="preserve">; Impact 1–5: </w:t>
            </w:r>
            <w:proofErr w:type="spellStart"/>
            <w:r w:rsidRPr="001840AE">
              <w:rPr>
                <w:rFonts w:asciiTheme="minorHAnsi" w:hAnsiTheme="minorHAnsi" w:cstheme="minorHAnsi"/>
                <w:color w:val="000000"/>
                <w:sz w:val="18"/>
                <w:szCs w:val="18"/>
              </w:rPr>
              <w:t>Negligible→Catastrophic</w:t>
            </w:r>
            <w:proofErr w:type="spellEnd"/>
            <w:r w:rsidRPr="001840AE">
              <w:rPr>
                <w:rFonts w:asciiTheme="minorHAnsi" w:hAnsiTheme="minorHAnsi" w:cstheme="minorHAnsi"/>
                <w:color w:val="000000"/>
                <w:sz w:val="18"/>
                <w:szCs w:val="18"/>
              </w:rPr>
              <w:t>) and compute </w:t>
            </w:r>
            <w:r w:rsidRPr="001840AE">
              <w:rPr>
                <w:rFonts w:asciiTheme="minorHAnsi" w:hAnsiTheme="minorHAnsi" w:cstheme="minorHAnsi"/>
                <w:b/>
                <w:bCs/>
                <w:color w:val="000000"/>
                <w:sz w:val="18"/>
                <w:szCs w:val="18"/>
              </w:rPr>
              <w:t>L×I</w:t>
            </w:r>
            <w:r w:rsidRPr="001840AE">
              <w:rPr>
                <w:rFonts w:asciiTheme="minorHAnsi" w:hAnsiTheme="minorHAnsi" w:cstheme="minorHAnsi"/>
                <w:color w:val="000000"/>
                <w:sz w:val="18"/>
                <w:szCs w:val="18"/>
              </w:rPr>
              <w:t> </w:t>
            </w:r>
            <w:proofErr w:type="gramStart"/>
            <w:r w:rsidRPr="001840AE">
              <w:rPr>
                <w:rFonts w:asciiTheme="minorHAnsi" w:hAnsiTheme="minorHAnsi" w:cstheme="minorHAnsi"/>
                <w:color w:val="000000"/>
                <w:sz w:val="18"/>
                <w:szCs w:val="18"/>
              </w:rPr>
              <w:t>scores</w:t>
            </w:r>
            <w:proofErr w:type="gramEnd"/>
            <w:r w:rsidRPr="001840AE">
              <w:rPr>
                <w:rFonts w:asciiTheme="minorHAnsi" w:hAnsiTheme="minorHAnsi" w:cstheme="minorHAnsi"/>
                <w:color w:val="000000"/>
                <w:sz w:val="18"/>
                <w:szCs w:val="18"/>
              </w:rPr>
              <w:t xml:space="preserve"> for each factor (e.g., SM2=4×4=16). Provide a </w:t>
            </w:r>
            <w:r w:rsidRPr="001840AE">
              <w:rPr>
                <w:rFonts w:asciiTheme="minorHAnsi" w:hAnsiTheme="minorHAnsi" w:cstheme="minorHAnsi"/>
                <w:b/>
                <w:bCs/>
                <w:color w:val="000000"/>
                <w:sz w:val="18"/>
                <w:szCs w:val="18"/>
              </w:rPr>
              <w:t>priority rule</w:t>
            </w:r>
            <w:r w:rsidRPr="001840AE">
              <w:rPr>
                <w:rFonts w:asciiTheme="minorHAnsi" w:hAnsiTheme="minorHAnsi" w:cstheme="minorHAnsi"/>
                <w:color w:val="000000"/>
                <w:sz w:val="18"/>
                <w:szCs w:val="18"/>
              </w:rPr>
              <w:t> (e.g., “Priority</w:t>
            </w:r>
            <w:r w:rsidRPr="001840AE">
              <w:rPr>
                <w:rFonts w:asciiTheme="minorHAnsi" w:hAnsiTheme="minorHAnsi" w:cstheme="minorHAnsi"/>
                <w:color w:val="000000"/>
                <w:sz w:val="18"/>
                <w:szCs w:val="18"/>
              </w:rPr>
              <w:noBreakHyphen/>
              <w:t>1 if ≥15”).</w:t>
            </w:r>
            <w:r w:rsidRPr="001840AE">
              <w:rPr>
                <w:rFonts w:asciiTheme="minorHAnsi" w:hAnsiTheme="minorHAnsi" w:cstheme="minorHAnsi"/>
                <w:color w:val="000000"/>
                <w:sz w:val="18"/>
                <w:szCs w:val="18"/>
              </w:rPr>
              <w:t xml:space="preserve"> </w:t>
            </w:r>
          </w:p>
          <w:p w14:paraId="24E9640D" w14:textId="6236BECD" w:rsidR="001840AE" w:rsidRPr="001840AE" w:rsidRDefault="001840AE" w:rsidP="001840AE">
            <w:pPr>
              <w:numPr>
                <w:ilvl w:val="0"/>
                <w:numId w:val="17"/>
              </w:numPr>
              <w:rPr>
                <w:rFonts w:asciiTheme="minorHAnsi" w:hAnsiTheme="minorHAnsi" w:cstheme="minorHAnsi"/>
                <w:color w:val="000000"/>
                <w:sz w:val="18"/>
                <w:szCs w:val="18"/>
              </w:rPr>
            </w:pPr>
            <w:r w:rsidRPr="001840AE">
              <w:rPr>
                <w:rFonts w:asciiTheme="minorHAnsi" w:hAnsiTheme="minorHAnsi" w:cstheme="minorHAnsi"/>
                <w:b/>
                <w:bCs/>
                <w:color w:val="000000"/>
                <w:sz w:val="18"/>
                <w:szCs w:val="18"/>
              </w:rPr>
              <w:t>Link each recommendation</w:t>
            </w:r>
            <w:r w:rsidRPr="001840AE">
              <w:rPr>
                <w:rFonts w:asciiTheme="minorHAnsi" w:hAnsiTheme="minorHAnsi" w:cstheme="minorHAnsi"/>
                <w:color w:val="000000"/>
                <w:sz w:val="18"/>
                <w:szCs w:val="18"/>
              </w:rPr>
              <w:t> to the exact </w:t>
            </w:r>
            <w:r w:rsidRPr="001840AE">
              <w:rPr>
                <w:rFonts w:asciiTheme="minorHAnsi" w:hAnsiTheme="minorHAnsi" w:cstheme="minorHAnsi"/>
                <w:b/>
                <w:bCs/>
                <w:color w:val="000000"/>
                <w:sz w:val="18"/>
                <w:szCs w:val="18"/>
              </w:rPr>
              <w:t>high</w:t>
            </w:r>
            <w:r w:rsidRPr="001840AE">
              <w:rPr>
                <w:rFonts w:asciiTheme="minorHAnsi" w:hAnsiTheme="minorHAnsi" w:cstheme="minorHAnsi"/>
                <w:b/>
                <w:bCs/>
                <w:color w:val="000000"/>
                <w:sz w:val="18"/>
                <w:szCs w:val="18"/>
              </w:rPr>
              <w:noBreakHyphen/>
              <w:t>score items</w:t>
            </w:r>
            <w:r w:rsidRPr="001840AE">
              <w:rPr>
                <w:rFonts w:asciiTheme="minorHAnsi" w:hAnsiTheme="minorHAnsi" w:cstheme="minorHAnsi"/>
                <w:color w:val="000000"/>
                <w:sz w:val="18"/>
                <w:szCs w:val="18"/>
              </w:rPr>
              <w:t> it mitigates (“Display recipient name” → SM2/SDM2; “QR transfer” → SM1/SDM1). This turns relevance into </w:t>
            </w:r>
            <w:r w:rsidRPr="001840AE">
              <w:rPr>
                <w:rFonts w:asciiTheme="minorHAnsi" w:hAnsiTheme="minorHAnsi" w:cstheme="minorHAnsi"/>
                <w:b/>
                <w:bCs/>
                <w:color w:val="000000"/>
                <w:sz w:val="18"/>
                <w:szCs w:val="18"/>
              </w:rPr>
              <w:t>defensible prioritisation</w:t>
            </w:r>
            <w:r w:rsidRPr="001840AE">
              <w:rPr>
                <w:rFonts w:asciiTheme="minorHAnsi" w:hAnsiTheme="minorHAnsi" w:cstheme="minorHAnsi"/>
                <w:color w:val="000000"/>
                <w:sz w:val="18"/>
                <w:szCs w:val="18"/>
              </w:rPr>
              <w:t>.</w:t>
            </w:r>
            <w:r w:rsidRPr="001840AE">
              <w:rPr>
                <w:rFonts w:asciiTheme="minorHAnsi" w:hAnsiTheme="minorHAnsi" w:cstheme="minorHAnsi"/>
                <w:color w:val="000000"/>
                <w:sz w:val="18"/>
                <w:szCs w:val="18"/>
              </w:rPr>
              <w:t xml:space="preserve"> </w:t>
            </w:r>
          </w:p>
          <w:p w14:paraId="28AFFA20" w14:textId="27FC59DB" w:rsidR="001840AE" w:rsidRPr="001840AE" w:rsidRDefault="001840AE" w:rsidP="001840AE">
            <w:pPr>
              <w:numPr>
                <w:ilvl w:val="0"/>
                <w:numId w:val="17"/>
              </w:numPr>
              <w:rPr>
                <w:rFonts w:asciiTheme="minorHAnsi" w:hAnsiTheme="minorHAnsi" w:cstheme="minorHAnsi"/>
                <w:color w:val="000000"/>
                <w:sz w:val="18"/>
                <w:szCs w:val="18"/>
              </w:rPr>
            </w:pPr>
            <w:r w:rsidRPr="001840AE">
              <w:rPr>
                <w:rFonts w:asciiTheme="minorHAnsi" w:hAnsiTheme="minorHAnsi" w:cstheme="minorHAnsi"/>
                <w:b/>
                <w:bCs/>
                <w:color w:val="000000"/>
                <w:sz w:val="18"/>
                <w:szCs w:val="18"/>
              </w:rPr>
              <w:t>Add measurable success criteria</w:t>
            </w:r>
            <w:r w:rsidRPr="001840AE">
              <w:rPr>
                <w:rFonts w:asciiTheme="minorHAnsi" w:hAnsiTheme="minorHAnsi" w:cstheme="minorHAnsi"/>
                <w:color w:val="000000"/>
                <w:sz w:val="18"/>
                <w:szCs w:val="18"/>
              </w:rPr>
              <w:t> so effectiveness can be evaluated, not just asserted.</w:t>
            </w:r>
          </w:p>
          <w:p w14:paraId="2ABFAE19" w14:textId="77777777" w:rsidR="001454EF" w:rsidRPr="00475F3B" w:rsidRDefault="001454EF" w:rsidP="001454EF">
            <w:pPr>
              <w:rPr>
                <w:rFonts w:asciiTheme="minorHAnsi" w:hAnsiTheme="minorHAnsi" w:cstheme="minorHAnsi"/>
                <w:color w:val="000000"/>
                <w:sz w:val="18"/>
                <w:szCs w:val="18"/>
              </w:rPr>
            </w:pPr>
          </w:p>
          <w:p w14:paraId="4AF69FC9" w14:textId="51FE4638" w:rsidR="00475F3B" w:rsidRDefault="00475F3B" w:rsidP="001454EF">
            <w:pPr>
              <w:rPr>
                <w:rFonts w:asciiTheme="minorHAnsi" w:hAnsiTheme="minorHAnsi" w:cstheme="minorHAnsi"/>
                <w:color w:val="000000"/>
                <w:sz w:val="18"/>
                <w:szCs w:val="18"/>
              </w:rPr>
            </w:pPr>
            <w:r w:rsidRPr="00475F3B">
              <w:rPr>
                <w:rFonts w:asciiTheme="minorHAnsi" w:hAnsiTheme="minorHAnsi" w:cstheme="minorHAnsi"/>
                <w:color w:val="000000"/>
                <w:sz w:val="18"/>
                <w:szCs w:val="18"/>
              </w:rPr>
              <w:t xml:space="preserve">Good use of academic sources. </w:t>
            </w:r>
          </w:p>
          <w:p w14:paraId="2430A5F5" w14:textId="77777777" w:rsidR="001840AE" w:rsidRPr="00475F3B" w:rsidRDefault="001840AE" w:rsidP="001454EF">
            <w:pPr>
              <w:rPr>
                <w:rFonts w:asciiTheme="minorHAnsi" w:hAnsiTheme="minorHAnsi" w:cstheme="minorHAnsi"/>
                <w:color w:val="000000"/>
                <w:sz w:val="18"/>
                <w:szCs w:val="18"/>
              </w:rPr>
            </w:pPr>
          </w:p>
          <w:p w14:paraId="44191380" w14:textId="5253839D" w:rsidR="001454EF" w:rsidRPr="001454EF" w:rsidRDefault="001454EF" w:rsidP="001454EF">
            <w:pPr>
              <w:rPr>
                <w:rFonts w:ascii="Segoe UI" w:hAnsi="Segoe UI" w:cs="Segoe UI"/>
                <w:color w:val="000000"/>
                <w:sz w:val="18"/>
                <w:szCs w:val="18"/>
              </w:rPr>
            </w:pPr>
          </w:p>
        </w:tc>
        <w:tc>
          <w:tcPr>
            <w:tcW w:w="526" w:type="pct"/>
            <w:gridSpan w:val="2"/>
            <w:hideMark/>
          </w:tcPr>
          <w:p w14:paraId="110E0047" w14:textId="1148D0E3" w:rsidR="007F7FEB" w:rsidRPr="00E04042" w:rsidRDefault="007F7FEB" w:rsidP="00E659B0">
            <w:pPr>
              <w:rPr>
                <w:rFonts w:ascii="Calibri" w:hAnsi="Calibri" w:cs="Calibri"/>
                <w:sz w:val="19"/>
                <w:szCs w:val="19"/>
              </w:rPr>
            </w:pPr>
            <w:r w:rsidRPr="00E04042">
              <w:rPr>
                <w:rFonts w:ascii="Calibri" w:hAnsi="Calibri" w:cs="Calibri"/>
                <w:sz w:val="19"/>
                <w:szCs w:val="19"/>
              </w:rPr>
              <w:lastRenderedPageBreak/>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5" w:type="pct"/>
            <w:gridSpan w:val="4"/>
            <w:hideMark/>
          </w:tcPr>
          <w:p w14:paraId="612D510C" w14:textId="31824FD0" w:rsidR="007F7FEB" w:rsidRPr="00E04042" w:rsidRDefault="007F7FEB" w:rsidP="00E659B0">
            <w:pPr>
              <w:rPr>
                <w:rFonts w:ascii="Calibri" w:hAnsi="Calibri" w:cs="Calibri"/>
                <w:sz w:val="19"/>
                <w:szCs w:val="19"/>
              </w:rPr>
            </w:pPr>
            <w:r w:rsidRPr="00A54B44">
              <w:rPr>
                <w:rFonts w:ascii="Calibri" w:hAnsi="Calibri" w:cs="Calibri"/>
                <w:sz w:val="19"/>
                <w:szCs w:val="19"/>
                <w:highlight w:val="yellow"/>
              </w:rPr>
              <w:t>Very high-quality work demonstrating excellent knowledge and understanding, analysis, organisation, accuracy, relevance, presentation and appropriate skills. Work which may extend existing debates or interpretations.</w:t>
            </w:r>
          </w:p>
        </w:tc>
        <w:tc>
          <w:tcPr>
            <w:tcW w:w="590" w:type="pct"/>
            <w:gridSpan w:val="3"/>
            <w:hideMark/>
          </w:tcPr>
          <w:p w14:paraId="228B2E79" w14:textId="6F3CA3A5" w:rsidR="007F7FEB" w:rsidRPr="00CC6038" w:rsidRDefault="007F7FEB" w:rsidP="00E659B0">
            <w:pPr>
              <w:spacing w:after="240"/>
              <w:rPr>
                <w:rFonts w:ascii="Calibri" w:hAnsi="Calibri" w:cs="Calibri"/>
                <w:sz w:val="19"/>
                <w:szCs w:val="19"/>
              </w:rPr>
            </w:pPr>
            <w:r w:rsidRPr="00A54B44">
              <w:rPr>
                <w:rFonts w:ascii="Calibri" w:hAnsi="Calibri" w:cs="Calibri"/>
                <w:sz w:val="19"/>
                <w:szCs w:val="19"/>
              </w:rPr>
              <w:t>High quality work demonstrating good knowledge and understanding, analysis, organisation, accuracy, relevance, presentation and appropriate skills.</w:t>
            </w:r>
            <w:r w:rsidRPr="00CC6038">
              <w:rPr>
                <w:rFonts w:ascii="Calibri" w:hAnsi="Calibri" w:cs="Calibri"/>
                <w:b/>
                <w:bCs/>
                <w:i/>
                <w:iCs/>
                <w:sz w:val="19"/>
                <w:szCs w:val="19"/>
              </w:rPr>
              <w:t xml:space="preserve"> </w:t>
            </w:r>
          </w:p>
        </w:tc>
        <w:tc>
          <w:tcPr>
            <w:tcW w:w="491" w:type="pct"/>
            <w:gridSpan w:val="3"/>
            <w:hideMark/>
          </w:tcPr>
          <w:p w14:paraId="5082AE20" w14:textId="045EDCEB" w:rsidR="007F7FEB" w:rsidRPr="00AC483C" w:rsidRDefault="007F7FEB" w:rsidP="00E659B0">
            <w:pPr>
              <w:rPr>
                <w:rFonts w:ascii="Calibri" w:hAnsi="Calibri" w:cs="Calibri"/>
                <w:sz w:val="19"/>
                <w:szCs w:val="19"/>
              </w:rPr>
            </w:pPr>
            <w:r w:rsidRPr="008E24A6">
              <w:rPr>
                <w:rFonts w:ascii="Calibri" w:hAnsi="Calibri" w:cs="Calibri"/>
                <w:sz w:val="19"/>
                <w:szCs w:val="19"/>
              </w:rPr>
              <w:t>Competent work, demonstrating reasonable knowledge and understanding, some analysis, organisation, accuracy, relevance, presentation and appropriate skills.</w:t>
            </w:r>
            <w:r w:rsidRPr="00AC483C">
              <w:rPr>
                <w:rFonts w:ascii="Calibri" w:hAnsi="Calibri" w:cs="Calibri"/>
                <w:b/>
                <w:bCs/>
                <w:i/>
                <w:iCs/>
                <w:sz w:val="19"/>
                <w:szCs w:val="19"/>
              </w:rPr>
              <w:t xml:space="preserve"> </w:t>
            </w:r>
          </w:p>
        </w:tc>
        <w:tc>
          <w:tcPr>
            <w:tcW w:w="551" w:type="pct"/>
            <w:gridSpan w:val="3"/>
            <w:hideMark/>
          </w:tcPr>
          <w:p w14:paraId="405ED71E" w14:textId="464DCD1B" w:rsidR="007F7FEB" w:rsidRPr="00BD0487" w:rsidRDefault="007F7FEB" w:rsidP="00E659B0">
            <w:pPr>
              <w:rPr>
                <w:rFonts w:ascii="Calibri" w:hAnsi="Calibri" w:cs="Calibri"/>
                <w:sz w:val="19"/>
                <w:szCs w:val="19"/>
              </w:rPr>
            </w:pPr>
            <w:r w:rsidRPr="00BD0487">
              <w:rPr>
                <w:rFonts w:ascii="Calibri" w:hAnsi="Calibri" w:cs="Calibri"/>
                <w:sz w:val="19"/>
                <w:szCs w:val="19"/>
              </w:rPr>
              <w:t>Work of limited quality, demonstrating some relevant knowledge and understanding.</w:t>
            </w:r>
            <w:r w:rsidRPr="00BD0487">
              <w:rPr>
                <w:rFonts w:ascii="Calibri" w:hAnsi="Calibri" w:cs="Calibri"/>
                <w:b/>
                <w:bCs/>
                <w:i/>
                <w:iCs/>
                <w:sz w:val="19"/>
                <w:szCs w:val="19"/>
              </w:rPr>
              <w:t xml:space="preserve"> </w:t>
            </w:r>
          </w:p>
        </w:tc>
        <w:tc>
          <w:tcPr>
            <w:tcW w:w="523" w:type="pct"/>
            <w:gridSpan w:val="2"/>
            <w:hideMark/>
          </w:tcPr>
          <w:p w14:paraId="116F7D68" w14:textId="31C26551" w:rsidR="007F7FEB" w:rsidRPr="00BD0487" w:rsidRDefault="007F7FEB" w:rsidP="00E659B0">
            <w:pPr>
              <w:rPr>
                <w:rFonts w:ascii="Calibri" w:hAnsi="Calibri" w:cs="Calibri"/>
                <w:sz w:val="19"/>
                <w:szCs w:val="19"/>
              </w:rPr>
            </w:pPr>
            <w:r w:rsidRPr="00BD0487">
              <w:rPr>
                <w:rFonts w:ascii="Calibri" w:hAnsi="Calibri" w:cs="Calibri"/>
                <w:sz w:val="19"/>
                <w:szCs w:val="19"/>
              </w:rPr>
              <w:t>Work does not meet standards required for the appropriate stage of an Honours degree. Evidence of study and demonstrates some knowledge and some basic understanding of relevant concepts and techniques, but subject to significant omissions and errors (</w:t>
            </w:r>
            <w:r w:rsidRPr="00BD0487">
              <w:rPr>
                <w:rFonts w:ascii="Calibri" w:hAnsi="Calibri" w:cs="Calibri"/>
                <w:b/>
                <w:bCs/>
                <w:sz w:val="19"/>
                <w:szCs w:val="19"/>
              </w:rPr>
              <w:t>38</w:t>
            </w:r>
            <w:r w:rsidRPr="00BD0487">
              <w:rPr>
                <w:rFonts w:ascii="Calibri" w:hAnsi="Calibri" w:cs="Calibri"/>
                <w:sz w:val="19"/>
                <w:szCs w:val="19"/>
              </w:rPr>
              <w:t>) Work is significantly below the standard required for the appropriate stage of an Honours degree. Some evidence of study and some knowledge and evidence of understanding but subject to very serious omissions and errors (</w:t>
            </w:r>
            <w:r w:rsidRPr="00BD0487">
              <w:rPr>
                <w:rFonts w:ascii="Calibri" w:hAnsi="Calibri" w:cs="Calibri"/>
                <w:b/>
                <w:bCs/>
                <w:sz w:val="19"/>
                <w:szCs w:val="19"/>
              </w:rPr>
              <w:t>32</w:t>
            </w:r>
            <w:r w:rsidRPr="00BD0487">
              <w:rPr>
                <w:rFonts w:ascii="Calibri" w:hAnsi="Calibri" w:cs="Calibri"/>
                <w:sz w:val="19"/>
                <w:szCs w:val="19"/>
              </w:rPr>
              <w:t>)</w:t>
            </w:r>
            <w:r w:rsidRPr="00BD0487">
              <w:rPr>
                <w:rFonts w:ascii="Calibri" w:hAnsi="Calibri" w:cs="Calibri"/>
                <w:b/>
                <w:bCs/>
                <w:i/>
                <w:iCs/>
                <w:sz w:val="19"/>
                <w:szCs w:val="19"/>
              </w:rPr>
              <w:t xml:space="preserve"> </w:t>
            </w:r>
          </w:p>
        </w:tc>
        <w:tc>
          <w:tcPr>
            <w:tcW w:w="393" w:type="pct"/>
            <w:gridSpan w:val="2"/>
            <w:hideMark/>
          </w:tcPr>
          <w:p w14:paraId="7D2ABAA5" w14:textId="09B5AC78" w:rsidR="007F7FEB" w:rsidRPr="00BD0487" w:rsidRDefault="007F7FEB" w:rsidP="00E659B0">
            <w:pPr>
              <w:rPr>
                <w:rFonts w:ascii="Calibri" w:hAnsi="Calibri" w:cs="Calibri"/>
                <w:sz w:val="19"/>
                <w:szCs w:val="19"/>
              </w:rPr>
            </w:pPr>
            <w:r w:rsidRPr="00BD0487">
              <w:rPr>
                <w:rFonts w:ascii="Calibri" w:hAnsi="Calibri" w:cs="Calibri"/>
                <w:sz w:val="19"/>
                <w:szCs w:val="19"/>
              </w:rPr>
              <w:t>Poor quality work well below the standards required for the appropriate stage of an Honours degree.</w:t>
            </w:r>
            <w:r w:rsidRPr="00BD0487">
              <w:rPr>
                <w:rFonts w:ascii="Calibri" w:hAnsi="Calibri" w:cs="Calibri"/>
                <w:b/>
                <w:bCs/>
                <w:i/>
                <w:iCs/>
                <w:sz w:val="19"/>
                <w:szCs w:val="19"/>
              </w:rPr>
              <w:t xml:space="preserve"> </w:t>
            </w:r>
          </w:p>
        </w:tc>
        <w:tc>
          <w:tcPr>
            <w:tcW w:w="308" w:type="pct"/>
            <w:hideMark/>
          </w:tcPr>
          <w:p w14:paraId="6B475129" w14:textId="77777777" w:rsidR="007F7FEB" w:rsidRPr="00BD0487" w:rsidRDefault="007F7FEB" w:rsidP="00E659B0">
            <w:pPr>
              <w:rPr>
                <w:rFonts w:ascii="Calibri" w:hAnsi="Calibri" w:cs="Calibri"/>
                <w:sz w:val="19"/>
                <w:szCs w:val="19"/>
              </w:rPr>
            </w:pPr>
            <w:r w:rsidRPr="00BD0487">
              <w:rPr>
                <w:rFonts w:ascii="Calibri" w:hAnsi="Calibri" w:cs="Calibri"/>
                <w:sz w:val="19"/>
                <w:szCs w:val="19"/>
              </w:rPr>
              <w:t>Work of no merit OR Absent, work not submitted, penalty in some misconduct cases</w:t>
            </w:r>
          </w:p>
        </w:tc>
      </w:tr>
    </w:tbl>
    <w:p w14:paraId="7CD93A40" w14:textId="0709D17A" w:rsidR="00A5008C" w:rsidRPr="006F5DA5" w:rsidRDefault="00E659B0" w:rsidP="00A5008C">
      <w:pPr>
        <w:rPr>
          <w:rFonts w:ascii="Calibri" w:hAnsi="Calibri" w:cs="Calibri"/>
          <w:b/>
          <w:bCs/>
          <w:color w:val="000000"/>
          <w:sz w:val="19"/>
          <w:szCs w:val="19"/>
        </w:rPr>
      </w:pPr>
      <w:r>
        <w:rPr>
          <w:rFonts w:ascii="Calibri" w:hAnsi="Calibri" w:cs="Calibri"/>
          <w:b/>
          <w:bCs/>
          <w:color w:val="000000"/>
          <w:sz w:val="19"/>
          <w:szCs w:val="19"/>
        </w:rPr>
        <w:br w:type="textWrapping" w:clear="all"/>
      </w:r>
    </w:p>
    <w:p w14:paraId="349C9F7D" w14:textId="77777777" w:rsidR="00A5008C" w:rsidRPr="00837DC6" w:rsidRDefault="00A5008C" w:rsidP="00A5008C">
      <w:pPr>
        <w:rPr>
          <w:rFonts w:ascii="Calibri" w:hAnsi="Calibri" w:cs="Calibri"/>
          <w:b/>
          <w:bCs/>
          <w:color w:val="000000"/>
          <w:sz w:val="20"/>
          <w:szCs w:val="20"/>
        </w:rPr>
      </w:pPr>
      <w:r w:rsidRPr="00837DC6">
        <w:rPr>
          <w:rFonts w:ascii="Calibri" w:hAnsi="Calibri" w:cs="Calibri"/>
          <w:b/>
          <w:bCs/>
          <w:color w:val="000000"/>
          <w:sz w:val="20"/>
          <w:szCs w:val="20"/>
          <w:highlight w:val="yellow"/>
        </w:rPr>
        <w:t>IF GROUP WORK: Your individual mark may be in a different band than your performance against each learning outcome in this rubric, because of the process of peer adjustment of marks for group work.</w:t>
      </w:r>
    </w:p>
    <w:p w14:paraId="69872988" w14:textId="015132C2" w:rsidR="008E5ADE" w:rsidRPr="006F5DA5" w:rsidRDefault="008E5ADE">
      <w:pPr>
        <w:rPr>
          <w:rFonts w:ascii="Calibri" w:hAnsi="Calibri" w:cs="Calibri"/>
        </w:rPr>
      </w:pPr>
    </w:p>
    <w:tbl>
      <w:tblPr>
        <w:tblW w:w="5005" w:type="pct"/>
        <w:tblInd w:w="-10" w:type="dxa"/>
        <w:tblCellMar>
          <w:top w:w="15" w:type="dxa"/>
        </w:tblCellMar>
        <w:tblLook w:val="04A0" w:firstRow="1" w:lastRow="0" w:firstColumn="1" w:lastColumn="0" w:noHBand="0" w:noVBand="1"/>
      </w:tblPr>
      <w:tblGrid>
        <w:gridCol w:w="20399"/>
        <w:gridCol w:w="523"/>
      </w:tblGrid>
      <w:tr w:rsidR="008E5ADE" w:rsidRPr="006F5DA5" w14:paraId="7482826A" w14:textId="77777777" w:rsidTr="7BFE2EA7">
        <w:trPr>
          <w:gridAfter w:val="1"/>
          <w:wAfter w:w="125" w:type="pct"/>
          <w:trHeight w:val="588"/>
        </w:trPr>
        <w:tc>
          <w:tcPr>
            <w:tcW w:w="4875" w:type="pct"/>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noWrap/>
            <w:hideMark/>
          </w:tcPr>
          <w:p w14:paraId="1F156422" w14:textId="5DE3BAFA" w:rsidR="008E5ADE" w:rsidRPr="00D14756" w:rsidRDefault="008E5ADE" w:rsidP="7C394824">
            <w:pPr>
              <w:rPr>
                <w:rFonts w:ascii="Calibri" w:hAnsi="Calibri" w:cs="Calibri"/>
                <w:b/>
                <w:bCs/>
                <w:color w:val="000000" w:themeColor="text1"/>
                <w:sz w:val="20"/>
                <w:szCs w:val="20"/>
              </w:rPr>
            </w:pPr>
            <w:bookmarkStart w:id="0" w:name="_Hlk82087880"/>
            <w:r w:rsidRPr="7C394824">
              <w:rPr>
                <w:rFonts w:ascii="Calibri" w:hAnsi="Calibri" w:cs="Calibri"/>
                <w:b/>
                <w:bCs/>
                <w:color w:val="000000" w:themeColor="text1"/>
                <w:sz w:val="20"/>
                <w:szCs w:val="20"/>
              </w:rPr>
              <w:t>What went well</w:t>
            </w:r>
            <w:r w:rsidR="005D35D9" w:rsidRPr="7C394824">
              <w:rPr>
                <w:rFonts w:ascii="Calibri" w:hAnsi="Calibri" w:cs="Calibri"/>
                <w:b/>
                <w:bCs/>
                <w:color w:val="000000" w:themeColor="text1"/>
                <w:sz w:val="20"/>
                <w:szCs w:val="20"/>
              </w:rPr>
              <w:t xml:space="preserve">? </w:t>
            </w:r>
            <w:r w:rsidRPr="7C394824">
              <w:rPr>
                <w:rFonts w:ascii="Calibri" w:hAnsi="Calibri" w:cs="Calibri"/>
                <w:b/>
                <w:bCs/>
                <w:color w:val="000000" w:themeColor="text1"/>
                <w:sz w:val="20"/>
                <w:szCs w:val="20"/>
              </w:rPr>
              <w:t>What could be improved and how</w:t>
            </w:r>
            <w:r w:rsidR="005D35D9" w:rsidRPr="7C394824">
              <w:rPr>
                <w:rFonts w:ascii="Calibri" w:hAnsi="Calibri" w:cs="Calibri"/>
                <w:b/>
                <w:bCs/>
                <w:color w:val="000000" w:themeColor="text1"/>
                <w:sz w:val="20"/>
                <w:szCs w:val="20"/>
              </w:rPr>
              <w:t>?</w:t>
            </w:r>
            <w:r w:rsidRPr="7C394824">
              <w:rPr>
                <w:rFonts w:ascii="Calibri" w:hAnsi="Calibri" w:cs="Calibri"/>
                <w:b/>
                <w:bCs/>
                <w:color w:val="000000" w:themeColor="text1"/>
                <w:sz w:val="20"/>
                <w:szCs w:val="20"/>
              </w:rPr>
              <w:t xml:space="preserve"> </w:t>
            </w:r>
            <w:r w:rsidRPr="7C394824">
              <w:rPr>
                <w:rFonts w:ascii="Calibri" w:hAnsi="Calibri" w:cs="Calibri"/>
                <w:b/>
                <w:bCs/>
                <w:i/>
                <w:iCs/>
                <w:color w:val="FF0000"/>
                <w:sz w:val="20"/>
                <w:szCs w:val="20"/>
              </w:rPr>
              <w:t>Marker additional comments</w:t>
            </w:r>
            <w:r w:rsidR="00D96035" w:rsidRPr="00D96035">
              <w:rPr>
                <w:rFonts w:ascii="Calibri" w:hAnsi="Calibri" w:cs="Calibri"/>
                <w:b/>
                <w:bCs/>
                <w:color w:val="FF0000"/>
                <w:sz w:val="20"/>
                <w:szCs w:val="20"/>
              </w:rPr>
              <w:t xml:space="preserve"> </w:t>
            </w:r>
          </w:p>
          <w:p w14:paraId="57B66B55" w14:textId="69F4ECAA" w:rsidR="008E5ADE" w:rsidRDefault="008E5ADE" w:rsidP="001454EF">
            <w:pPr>
              <w:tabs>
                <w:tab w:val="left" w:pos="2205"/>
              </w:tabs>
              <w:rPr>
                <w:rFonts w:ascii="Calibri" w:hAnsi="Calibri" w:cs="Calibri"/>
                <w:b/>
                <w:bCs/>
                <w:i/>
                <w:iCs/>
                <w:color w:val="FF0000"/>
                <w:sz w:val="20"/>
                <w:szCs w:val="20"/>
              </w:rPr>
            </w:pPr>
          </w:p>
          <w:p w14:paraId="5149D1D1" w14:textId="77777777" w:rsid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S1: You cover two flows (send and add payee), which dilutes focus.</w:t>
            </w:r>
          </w:p>
          <w:p w14:paraId="5517EF36" w14:textId="77777777" w:rsid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Please select one usage scenario and analyse it end</w:t>
            </w:r>
            <w:r w:rsidRPr="001840AE">
              <w:rPr>
                <w:rFonts w:ascii="Calibri" w:hAnsi="Calibri" w:cs="Calibri"/>
                <w:b/>
                <w:bCs/>
                <w:i/>
                <w:iCs/>
                <w:color w:val="FF0000"/>
                <w:sz w:val="20"/>
                <w:szCs w:val="20"/>
              </w:rPr>
              <w:noBreakHyphen/>
              <w:t>to</w:t>
            </w:r>
            <w:r w:rsidRPr="001840AE">
              <w:rPr>
                <w:rFonts w:ascii="Calibri" w:hAnsi="Calibri" w:cs="Calibri"/>
                <w:b/>
                <w:bCs/>
                <w:i/>
                <w:iCs/>
                <w:color w:val="FF0000"/>
                <w:sz w:val="20"/>
                <w:szCs w:val="20"/>
              </w:rPr>
              <w:noBreakHyphen/>
              <w:t>end; then tie each de</w:t>
            </w:r>
            <w:r w:rsidRPr="001840AE">
              <w:rPr>
                <w:rFonts w:ascii="Calibri" w:hAnsi="Calibri" w:cs="Calibri"/>
                <w:b/>
                <w:bCs/>
                <w:i/>
                <w:iCs/>
                <w:color w:val="FF0000"/>
                <w:sz w:val="20"/>
                <w:szCs w:val="20"/>
              </w:rPr>
              <w:noBreakHyphen/>
              <w:t>motivator explicitly to a security consequence (e.g., manual 16</w:t>
            </w:r>
            <w:r w:rsidRPr="001840AE">
              <w:rPr>
                <w:rFonts w:ascii="Calibri" w:hAnsi="Calibri" w:cs="Calibri"/>
                <w:b/>
                <w:bCs/>
                <w:i/>
                <w:iCs/>
                <w:color w:val="FF0000"/>
                <w:sz w:val="20"/>
                <w:szCs w:val="20"/>
              </w:rPr>
              <w:noBreakHyphen/>
              <w:t>digit entry → transcription errors → wrong</w:t>
            </w:r>
            <w:r w:rsidRPr="001840AE">
              <w:rPr>
                <w:rFonts w:ascii="Calibri" w:hAnsi="Calibri" w:cs="Calibri"/>
                <w:b/>
                <w:bCs/>
                <w:i/>
                <w:iCs/>
                <w:color w:val="FF0000"/>
                <w:sz w:val="20"/>
                <w:szCs w:val="20"/>
              </w:rPr>
              <w:noBreakHyphen/>
              <w:t>recipient payment).</w:t>
            </w:r>
          </w:p>
          <w:p w14:paraId="3C4BAEE2" w14:textId="77777777" w:rsid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S2: The threat is well implied but not explicitly defined. Add a one</w:t>
            </w:r>
            <w:r w:rsidRPr="001840AE">
              <w:rPr>
                <w:rFonts w:ascii="Calibri" w:hAnsi="Calibri" w:cs="Calibri"/>
                <w:b/>
                <w:bCs/>
                <w:i/>
                <w:iCs/>
                <w:color w:val="FF0000"/>
                <w:sz w:val="20"/>
                <w:szCs w:val="20"/>
              </w:rPr>
              <w:noBreakHyphen/>
              <w:t>line actor–action–asset–outcome statement plus a short micro</w:t>
            </w:r>
            <w:r w:rsidRPr="001840AE">
              <w:rPr>
                <w:rFonts w:ascii="Calibri" w:hAnsi="Calibri" w:cs="Calibri"/>
                <w:b/>
                <w:bCs/>
                <w:i/>
                <w:iCs/>
                <w:color w:val="FF0000"/>
                <w:sz w:val="20"/>
                <w:szCs w:val="20"/>
              </w:rPr>
              <w:noBreakHyphen/>
              <w:t>journey to ground your Kainda mapping.</w:t>
            </w:r>
          </w:p>
          <w:p w14:paraId="7878ECBD" w14:textId="77777777" w:rsid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S3: Recommendations are practical and coherent with identified risks, but the risk matrix needs quantification:</w:t>
            </w:r>
          </w:p>
          <w:p w14:paraId="29E40965" w14:textId="77777777" w:rsid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 xml:space="preserve">define 1–5 Likelihood and Impact, compute L×I </w:t>
            </w:r>
            <w:proofErr w:type="gramStart"/>
            <w:r w:rsidRPr="001840AE">
              <w:rPr>
                <w:rFonts w:ascii="Calibri" w:hAnsi="Calibri" w:cs="Calibri"/>
                <w:b/>
                <w:bCs/>
                <w:i/>
                <w:iCs/>
                <w:color w:val="FF0000"/>
                <w:sz w:val="20"/>
                <w:szCs w:val="20"/>
              </w:rPr>
              <w:t>scores</w:t>
            </w:r>
            <w:proofErr w:type="gramEnd"/>
            <w:r w:rsidRPr="001840AE">
              <w:rPr>
                <w:rFonts w:ascii="Calibri" w:hAnsi="Calibri" w:cs="Calibri"/>
                <w:b/>
                <w:bCs/>
                <w:i/>
                <w:iCs/>
                <w:color w:val="FF0000"/>
                <w:sz w:val="20"/>
                <w:szCs w:val="20"/>
              </w:rPr>
              <w:t>, and set a priority rule so your ordering is auditable.</w:t>
            </w:r>
          </w:p>
          <w:p w14:paraId="4DA0AC3C" w14:textId="77777777" w:rsid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Add metrics (e.g., −60% wrong</w:t>
            </w:r>
            <w:r w:rsidRPr="001840AE">
              <w:rPr>
                <w:rFonts w:ascii="Calibri" w:hAnsi="Calibri" w:cs="Calibri"/>
                <w:b/>
                <w:bCs/>
                <w:i/>
                <w:iCs/>
                <w:color w:val="FF0000"/>
                <w:sz w:val="20"/>
                <w:szCs w:val="20"/>
              </w:rPr>
              <w:noBreakHyphen/>
              <w:t>recipient transfers) and a UI anchor (confirmation screen with recipient name/card ending).</w:t>
            </w:r>
          </w:p>
          <w:p w14:paraId="241AF304" w14:textId="0D533EE6" w:rsidR="001840AE" w:rsidRPr="001840AE" w:rsidRDefault="001840AE" w:rsidP="001840AE">
            <w:pPr>
              <w:rPr>
                <w:rFonts w:ascii="Calibri" w:hAnsi="Calibri" w:cs="Calibri"/>
                <w:b/>
                <w:bCs/>
                <w:i/>
                <w:iCs/>
                <w:color w:val="FF0000"/>
                <w:sz w:val="20"/>
                <w:szCs w:val="20"/>
              </w:rPr>
            </w:pPr>
            <w:r w:rsidRPr="001840AE">
              <w:rPr>
                <w:rFonts w:ascii="Calibri" w:hAnsi="Calibri" w:cs="Calibri"/>
                <w:b/>
                <w:bCs/>
                <w:i/>
                <w:iCs/>
                <w:color w:val="FF0000"/>
                <w:sz w:val="20"/>
                <w:szCs w:val="20"/>
              </w:rPr>
              <w:t>Sources are well chosen; label the password</w:t>
            </w:r>
            <w:r w:rsidRPr="001840AE">
              <w:rPr>
                <w:rFonts w:ascii="Calibri" w:hAnsi="Calibri" w:cs="Calibri"/>
                <w:b/>
                <w:bCs/>
                <w:i/>
                <w:iCs/>
                <w:color w:val="FF0000"/>
                <w:sz w:val="20"/>
                <w:szCs w:val="20"/>
              </w:rPr>
              <w:noBreakHyphen/>
              <w:t>typo evidence as a proxy and, if possible, bound the estimate.</w:t>
            </w:r>
          </w:p>
          <w:p w14:paraId="4ADE9581" w14:textId="657DC22B" w:rsidR="008E5ADE" w:rsidRPr="00837DC6" w:rsidRDefault="008E5ADE" w:rsidP="7C394824">
            <w:pPr>
              <w:rPr>
                <w:rFonts w:ascii="Calibri" w:hAnsi="Calibri" w:cs="Calibri"/>
                <w:b/>
                <w:bCs/>
                <w:i/>
                <w:iCs/>
                <w:color w:val="FF0000"/>
                <w:sz w:val="20"/>
                <w:szCs w:val="20"/>
              </w:rPr>
            </w:pPr>
          </w:p>
          <w:p w14:paraId="73468C55" w14:textId="54CDBC45" w:rsidR="008E5ADE" w:rsidRPr="00837DC6" w:rsidRDefault="008E5ADE" w:rsidP="7C394824">
            <w:pPr>
              <w:rPr>
                <w:rFonts w:ascii="Calibri" w:hAnsi="Calibri" w:cs="Calibri"/>
                <w:b/>
                <w:bCs/>
                <w:i/>
                <w:iCs/>
                <w:color w:val="FF0000"/>
                <w:sz w:val="20"/>
                <w:szCs w:val="20"/>
              </w:rPr>
            </w:pPr>
          </w:p>
        </w:tc>
      </w:tr>
      <w:tr w:rsidR="008E5ADE" w:rsidRPr="006F5DA5" w14:paraId="4C615A61" w14:textId="77777777" w:rsidTr="7BFE2EA7">
        <w:trPr>
          <w:trHeight w:val="240"/>
        </w:trPr>
        <w:tc>
          <w:tcPr>
            <w:tcW w:w="4875" w:type="pct"/>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4DD20389" w14:textId="77777777" w:rsidR="008E5ADE" w:rsidRPr="00837DC6" w:rsidRDefault="008E5ADE" w:rsidP="00607DE5">
            <w:pPr>
              <w:rPr>
                <w:rFonts w:ascii="Calibri" w:hAnsi="Calibri" w:cs="Calibri"/>
                <w:b/>
                <w:bCs/>
                <w:color w:val="000000"/>
                <w:sz w:val="20"/>
                <w:szCs w:val="20"/>
              </w:rPr>
            </w:pPr>
          </w:p>
        </w:tc>
        <w:tc>
          <w:tcPr>
            <w:tcW w:w="125" w:type="pct"/>
            <w:tcBorders>
              <w:top w:val="nil"/>
              <w:left w:val="single" w:sz="12" w:space="0" w:color="000000" w:themeColor="text1"/>
              <w:bottom w:val="nil"/>
              <w:right w:val="nil"/>
            </w:tcBorders>
            <w:noWrap/>
            <w:vAlign w:val="bottom"/>
            <w:hideMark/>
          </w:tcPr>
          <w:p w14:paraId="0CDE6F52" w14:textId="77777777" w:rsidR="008E5ADE" w:rsidRPr="006F5DA5" w:rsidRDefault="008E5ADE" w:rsidP="00607DE5">
            <w:pPr>
              <w:rPr>
                <w:rFonts w:ascii="Calibri" w:hAnsi="Calibri" w:cs="Calibri"/>
                <w:b/>
                <w:bCs/>
                <w:color w:val="000000"/>
                <w:sz w:val="19"/>
                <w:szCs w:val="19"/>
              </w:rPr>
            </w:pPr>
          </w:p>
        </w:tc>
      </w:tr>
      <w:tr w:rsidR="008E5ADE" w:rsidRPr="006F5DA5" w14:paraId="7013384D" w14:textId="77777777" w:rsidTr="7BFE2EA7">
        <w:trPr>
          <w:trHeight w:val="120"/>
        </w:trPr>
        <w:tc>
          <w:tcPr>
            <w:tcW w:w="4875" w:type="pct"/>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4DD520EA" w14:textId="77777777" w:rsidR="008E5ADE" w:rsidRPr="00837DC6" w:rsidRDefault="008E5ADE" w:rsidP="00607DE5">
            <w:pPr>
              <w:rPr>
                <w:rFonts w:ascii="Calibri" w:hAnsi="Calibri" w:cs="Calibri"/>
                <w:b/>
                <w:bCs/>
                <w:color w:val="000000"/>
                <w:sz w:val="20"/>
                <w:szCs w:val="20"/>
              </w:rPr>
            </w:pPr>
          </w:p>
        </w:tc>
        <w:tc>
          <w:tcPr>
            <w:tcW w:w="125" w:type="pct"/>
            <w:tcBorders>
              <w:top w:val="nil"/>
              <w:left w:val="single" w:sz="12" w:space="0" w:color="000000" w:themeColor="text1"/>
              <w:bottom w:val="nil"/>
              <w:right w:val="nil"/>
            </w:tcBorders>
            <w:noWrap/>
            <w:vAlign w:val="bottom"/>
            <w:hideMark/>
          </w:tcPr>
          <w:p w14:paraId="045C9D82" w14:textId="77777777" w:rsidR="008E5ADE" w:rsidRPr="006F5DA5" w:rsidRDefault="008E5ADE" w:rsidP="00607DE5">
            <w:pPr>
              <w:rPr>
                <w:rFonts w:ascii="Calibri" w:hAnsi="Calibri" w:cs="Calibri"/>
                <w:sz w:val="20"/>
                <w:szCs w:val="20"/>
              </w:rPr>
            </w:pPr>
          </w:p>
        </w:tc>
      </w:tr>
      <w:tr w:rsidR="008E5ADE" w:rsidRPr="006F5DA5" w14:paraId="7DD6337A" w14:textId="77777777" w:rsidTr="7BFE2EA7">
        <w:trPr>
          <w:trHeight w:val="240"/>
        </w:trPr>
        <w:tc>
          <w:tcPr>
            <w:tcW w:w="4875" w:type="pct"/>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noWrap/>
            <w:hideMark/>
          </w:tcPr>
          <w:p w14:paraId="683D5281" w14:textId="78B33130" w:rsidR="008E5ADE" w:rsidRPr="00837DC6" w:rsidRDefault="008E5ADE" w:rsidP="7C394824">
            <w:pPr>
              <w:rPr>
                <w:rFonts w:ascii="Calibri" w:hAnsi="Calibri" w:cs="Calibri"/>
                <w:b/>
                <w:bCs/>
                <w:color w:val="000000" w:themeColor="text1"/>
                <w:sz w:val="20"/>
                <w:szCs w:val="20"/>
              </w:rPr>
            </w:pPr>
            <w:r w:rsidRPr="7C394824">
              <w:rPr>
                <w:rFonts w:ascii="Calibri" w:hAnsi="Calibri" w:cs="Calibri"/>
                <w:b/>
                <w:bCs/>
                <w:color w:val="000000" w:themeColor="text1"/>
                <w:sz w:val="20"/>
                <w:szCs w:val="20"/>
              </w:rPr>
              <w:t>Student reflections and forward planning</w:t>
            </w:r>
            <w:r w:rsidR="005D35D9" w:rsidRPr="7C394824">
              <w:rPr>
                <w:rFonts w:ascii="Calibri" w:hAnsi="Calibri" w:cs="Calibri"/>
                <w:b/>
                <w:bCs/>
                <w:color w:val="000000" w:themeColor="text1"/>
                <w:sz w:val="20"/>
                <w:szCs w:val="20"/>
              </w:rPr>
              <w:t>.</w:t>
            </w:r>
            <w:r w:rsidRPr="7C394824">
              <w:rPr>
                <w:rFonts w:ascii="Calibri" w:hAnsi="Calibri" w:cs="Calibri"/>
                <w:b/>
                <w:bCs/>
                <w:color w:val="000000" w:themeColor="text1"/>
                <w:sz w:val="20"/>
                <w:szCs w:val="20"/>
              </w:rPr>
              <w:t xml:space="preserve"> </w:t>
            </w:r>
            <w:r w:rsidRPr="7C394824">
              <w:rPr>
                <w:rFonts w:ascii="Calibri" w:hAnsi="Calibri" w:cs="Calibri"/>
                <w:b/>
                <w:bCs/>
                <w:i/>
                <w:iCs/>
                <w:color w:val="FF0000"/>
                <w:sz w:val="20"/>
                <w:szCs w:val="20"/>
              </w:rPr>
              <w:t>Space for students to write reflections on their work and note action plans</w:t>
            </w:r>
          </w:p>
          <w:p w14:paraId="72ED2BF8" w14:textId="45561233" w:rsidR="008E5ADE" w:rsidRPr="00837DC6" w:rsidRDefault="008E5ADE" w:rsidP="7C394824">
            <w:pPr>
              <w:rPr>
                <w:rFonts w:ascii="Calibri" w:hAnsi="Calibri" w:cs="Calibri"/>
                <w:b/>
                <w:bCs/>
                <w:i/>
                <w:iCs/>
                <w:color w:val="FF0000"/>
                <w:sz w:val="20"/>
                <w:szCs w:val="20"/>
              </w:rPr>
            </w:pPr>
          </w:p>
          <w:p w14:paraId="7C7FB8E7" w14:textId="3F7F7D00" w:rsidR="008E5ADE" w:rsidRPr="00837DC6" w:rsidRDefault="008E5ADE" w:rsidP="7C394824">
            <w:pPr>
              <w:rPr>
                <w:rFonts w:ascii="Calibri" w:hAnsi="Calibri" w:cs="Calibri"/>
                <w:b/>
                <w:bCs/>
                <w:i/>
                <w:iCs/>
                <w:color w:val="FF0000"/>
                <w:sz w:val="20"/>
                <w:szCs w:val="20"/>
              </w:rPr>
            </w:pPr>
          </w:p>
          <w:p w14:paraId="29B1A0E4" w14:textId="07C1761A" w:rsidR="008E5ADE" w:rsidRPr="00837DC6" w:rsidRDefault="008E5ADE" w:rsidP="7C394824">
            <w:pPr>
              <w:rPr>
                <w:rFonts w:ascii="Calibri" w:hAnsi="Calibri" w:cs="Calibri"/>
                <w:b/>
                <w:bCs/>
                <w:i/>
                <w:iCs/>
                <w:color w:val="FF0000"/>
                <w:sz w:val="20"/>
                <w:szCs w:val="20"/>
              </w:rPr>
            </w:pPr>
          </w:p>
          <w:p w14:paraId="2C63C508" w14:textId="22E27400" w:rsidR="008E5ADE" w:rsidRPr="00837DC6" w:rsidRDefault="008E5ADE" w:rsidP="7C394824">
            <w:pPr>
              <w:rPr>
                <w:rFonts w:ascii="Calibri" w:hAnsi="Calibri" w:cs="Calibri"/>
                <w:b/>
                <w:bCs/>
                <w:i/>
                <w:iCs/>
                <w:color w:val="FF0000"/>
                <w:sz w:val="20"/>
                <w:szCs w:val="20"/>
              </w:rPr>
            </w:pPr>
          </w:p>
        </w:tc>
        <w:tc>
          <w:tcPr>
            <w:tcW w:w="125" w:type="pct"/>
            <w:tcBorders>
              <w:left w:val="single" w:sz="12" w:space="0" w:color="000000" w:themeColor="text1"/>
            </w:tcBorders>
            <w:vAlign w:val="center"/>
            <w:hideMark/>
          </w:tcPr>
          <w:p w14:paraId="0A8A7C7B" w14:textId="77777777" w:rsidR="008E5ADE" w:rsidRPr="006F5DA5" w:rsidRDefault="008E5ADE" w:rsidP="00607DE5">
            <w:pPr>
              <w:rPr>
                <w:rFonts w:ascii="Calibri" w:hAnsi="Calibri" w:cs="Calibri"/>
                <w:sz w:val="20"/>
                <w:szCs w:val="20"/>
              </w:rPr>
            </w:pPr>
          </w:p>
        </w:tc>
      </w:tr>
      <w:tr w:rsidR="008E5ADE" w:rsidRPr="006F5DA5" w14:paraId="016448AC" w14:textId="77777777" w:rsidTr="7BFE2EA7">
        <w:trPr>
          <w:trHeight w:val="240"/>
        </w:trPr>
        <w:tc>
          <w:tcPr>
            <w:tcW w:w="4875" w:type="pct"/>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1D81C363" w14:textId="77777777" w:rsidR="008E5ADE" w:rsidRPr="006F5DA5" w:rsidRDefault="008E5ADE" w:rsidP="00607DE5">
            <w:pPr>
              <w:rPr>
                <w:rFonts w:ascii="Calibri" w:hAnsi="Calibri" w:cs="Calibri"/>
                <w:b/>
                <w:bCs/>
                <w:color w:val="000000"/>
                <w:sz w:val="19"/>
                <w:szCs w:val="19"/>
              </w:rPr>
            </w:pPr>
          </w:p>
        </w:tc>
        <w:tc>
          <w:tcPr>
            <w:tcW w:w="125" w:type="pct"/>
            <w:tcBorders>
              <w:top w:val="nil"/>
              <w:left w:val="single" w:sz="12" w:space="0" w:color="000000" w:themeColor="text1"/>
              <w:bottom w:val="nil"/>
              <w:right w:val="nil"/>
            </w:tcBorders>
            <w:noWrap/>
            <w:vAlign w:val="bottom"/>
            <w:hideMark/>
          </w:tcPr>
          <w:p w14:paraId="16316E61" w14:textId="77777777" w:rsidR="008E5ADE" w:rsidRPr="006F5DA5" w:rsidRDefault="008E5ADE" w:rsidP="00607DE5">
            <w:pPr>
              <w:rPr>
                <w:rFonts w:ascii="Calibri" w:hAnsi="Calibri" w:cs="Calibri"/>
                <w:b/>
                <w:bCs/>
                <w:color w:val="000000"/>
                <w:sz w:val="19"/>
                <w:szCs w:val="19"/>
              </w:rPr>
            </w:pPr>
          </w:p>
        </w:tc>
      </w:tr>
      <w:tr w:rsidR="008E5ADE" w:rsidRPr="006F5DA5" w14:paraId="4BEE0820" w14:textId="77777777" w:rsidTr="7BFE2EA7">
        <w:trPr>
          <w:trHeight w:val="253"/>
        </w:trPr>
        <w:tc>
          <w:tcPr>
            <w:tcW w:w="4875" w:type="pct"/>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7F44A242" w14:textId="77777777" w:rsidR="008E5ADE" w:rsidRPr="006F5DA5" w:rsidRDefault="008E5ADE" w:rsidP="00607DE5">
            <w:pPr>
              <w:rPr>
                <w:rFonts w:ascii="Calibri" w:hAnsi="Calibri" w:cs="Calibri"/>
                <w:b/>
                <w:bCs/>
                <w:color w:val="000000"/>
                <w:sz w:val="19"/>
                <w:szCs w:val="19"/>
              </w:rPr>
            </w:pPr>
          </w:p>
        </w:tc>
        <w:tc>
          <w:tcPr>
            <w:tcW w:w="125" w:type="pct"/>
            <w:tcBorders>
              <w:top w:val="nil"/>
              <w:left w:val="single" w:sz="12" w:space="0" w:color="000000" w:themeColor="text1"/>
              <w:bottom w:val="nil"/>
              <w:right w:val="nil"/>
            </w:tcBorders>
            <w:noWrap/>
            <w:vAlign w:val="bottom"/>
            <w:hideMark/>
          </w:tcPr>
          <w:p w14:paraId="0711AB87" w14:textId="77777777" w:rsidR="008E5ADE" w:rsidRPr="006F5DA5" w:rsidRDefault="008E5ADE" w:rsidP="00607DE5">
            <w:pPr>
              <w:rPr>
                <w:rFonts w:ascii="Calibri" w:hAnsi="Calibri" w:cs="Calibri"/>
                <w:sz w:val="20"/>
                <w:szCs w:val="20"/>
              </w:rPr>
            </w:pPr>
          </w:p>
        </w:tc>
      </w:tr>
      <w:bookmarkEnd w:id="0"/>
    </w:tbl>
    <w:p w14:paraId="2314E29E" w14:textId="77777777" w:rsidR="008E5ADE" w:rsidRPr="006F5DA5" w:rsidRDefault="008E5ADE">
      <w:pPr>
        <w:rPr>
          <w:rFonts w:ascii="Calibri" w:hAnsi="Calibri" w:cs="Calibri"/>
        </w:rPr>
      </w:pPr>
    </w:p>
    <w:sectPr w:rsidR="008E5ADE" w:rsidRPr="006F5DA5" w:rsidSect="00094126">
      <w:headerReference w:type="default" r:id="rId11"/>
      <w:footerReference w:type="default" r:id="rId12"/>
      <w:pgSz w:w="23811" w:h="16838"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93D0" w14:textId="77777777" w:rsidR="00362274" w:rsidRDefault="00362274" w:rsidP="00CE44F9">
      <w:r>
        <w:separator/>
      </w:r>
    </w:p>
  </w:endnote>
  <w:endnote w:type="continuationSeparator" w:id="0">
    <w:p w14:paraId="4E329711" w14:textId="77777777" w:rsidR="00362274" w:rsidRDefault="00362274" w:rsidP="00CE4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9A62" w14:textId="43638DDB" w:rsidR="00CE44F9" w:rsidRDefault="00CE44F9" w:rsidP="00CE44F9">
    <w:pPr>
      <w:pStyle w:val="Header"/>
    </w:pPr>
    <w:r>
      <w:rPr>
        <w:noProof/>
      </w:rPr>
      <w:drawing>
        <wp:anchor distT="0" distB="0" distL="114300" distR="114300" simplePos="0" relativeHeight="251659264" behindDoc="0" locked="0" layoutInCell="1" allowOverlap="1" wp14:anchorId="403FF7D2" wp14:editId="1DA6895C">
          <wp:simplePos x="0" y="0"/>
          <wp:positionH relativeFrom="column">
            <wp:posOffset>11695883</wp:posOffset>
          </wp:positionH>
          <wp:positionV relativeFrom="paragraph">
            <wp:posOffset>25491</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r w:rsidRPr="0097409B">
      <w:rPr>
        <w:noProof/>
      </w:rPr>
      <mc:AlternateContent>
        <mc:Choice Requires="wps">
          <w:drawing>
            <wp:anchor distT="0" distB="0" distL="114300" distR="114300" simplePos="0" relativeHeight="251660288" behindDoc="0" locked="0" layoutInCell="1" allowOverlap="1" wp14:anchorId="18C557C3" wp14:editId="3E221112">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w14:anchorId="1EF93407">
            <v:shapetype id="_x0000_t6" coordsize="21600,21600" o:spt="6" path="m,l,21600r21600,xe" w14:anchorId="0B4B9142">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p>
  <w:p w14:paraId="6BC251B4" w14:textId="1AD4A08F" w:rsidR="00CE44F9" w:rsidRDefault="00CE44F9" w:rsidP="00CE44F9">
    <w:pPr>
      <w:pStyle w:val="Header"/>
    </w:pPr>
  </w:p>
  <w:p w14:paraId="7510E7E5" w14:textId="58E21BB3" w:rsidR="00CE44F9" w:rsidRDefault="00CE4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0203" w14:textId="77777777" w:rsidR="00362274" w:rsidRDefault="00362274" w:rsidP="00CE44F9">
      <w:r>
        <w:separator/>
      </w:r>
    </w:p>
  </w:footnote>
  <w:footnote w:type="continuationSeparator" w:id="0">
    <w:p w14:paraId="64D2A3CF" w14:textId="77777777" w:rsidR="00362274" w:rsidRDefault="00362274" w:rsidP="00CE4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4901"/>
      <w:gridCol w:w="7216"/>
      <w:gridCol w:w="8115"/>
    </w:tblGrid>
    <w:tr w:rsidR="00E67738" w:rsidRPr="00BE495E" w14:paraId="501B2002" w14:textId="77777777" w:rsidTr="3E3695B2">
      <w:trPr>
        <w:trHeight w:val="259"/>
      </w:trPr>
      <w:tc>
        <w:tcPr>
          <w:tcW w:w="20232" w:type="dxa"/>
          <w:gridSpan w:val="3"/>
          <w:shd w:val="clear" w:color="auto" w:fill="9BC2E6"/>
          <w:hideMark/>
        </w:tcPr>
        <w:p w14:paraId="031DBB5D" w14:textId="3990C58D" w:rsidR="00E67738" w:rsidRPr="00BE495E" w:rsidRDefault="3E3695B2" w:rsidP="00E67738">
          <w:pPr>
            <w:rPr>
              <w:rFonts w:ascii="Arial" w:hAnsi="Arial" w:cs="Arial"/>
              <w:color w:val="000000"/>
              <w:sz w:val="19"/>
              <w:szCs w:val="19"/>
            </w:rPr>
          </w:pPr>
          <w:r w:rsidRPr="3E3695B2">
            <w:rPr>
              <w:rFonts w:ascii="Arial" w:hAnsi="Arial" w:cs="Arial"/>
              <w:color w:val="000000" w:themeColor="text1"/>
              <w:sz w:val="19"/>
              <w:szCs w:val="19"/>
            </w:rPr>
            <w:t>WMG Undergraduate 20-Point Student-facing Marking Rubric</w:t>
          </w:r>
        </w:p>
        <w:p w14:paraId="26A98334" w14:textId="77777777" w:rsidR="00E67738" w:rsidRPr="00BE495E" w:rsidRDefault="00E67738" w:rsidP="00E67738">
          <w:pPr>
            <w:rPr>
              <w:rFonts w:ascii="Arial" w:hAnsi="Arial" w:cs="Arial"/>
              <w:color w:val="000000"/>
              <w:sz w:val="19"/>
              <w:szCs w:val="19"/>
            </w:rPr>
          </w:pPr>
          <w:r w:rsidRPr="00BE495E">
            <w:rPr>
              <w:rFonts w:ascii="Arial" w:hAnsi="Arial" w:cs="Arial"/>
              <w:color w:val="000000"/>
              <w:sz w:val="19"/>
              <w:szCs w:val="19"/>
            </w:rPr>
            <w:t> </w:t>
          </w:r>
        </w:p>
      </w:tc>
    </w:tr>
    <w:tr w:rsidR="00E67738" w:rsidRPr="00BE495E" w14:paraId="001C5B3B" w14:textId="77777777" w:rsidTr="3E3695B2">
      <w:trPr>
        <w:trHeight w:val="558"/>
      </w:trPr>
      <w:tc>
        <w:tcPr>
          <w:tcW w:w="4901" w:type="dxa"/>
          <w:shd w:val="clear" w:color="auto" w:fill="DDEBF7"/>
          <w:hideMark/>
        </w:tcPr>
        <w:p w14:paraId="3BA7CD76" w14:textId="549054CF" w:rsidR="00E67738" w:rsidRDefault="00E67738" w:rsidP="00E67738">
          <w:pPr>
            <w:rPr>
              <w:rFonts w:ascii="Arial" w:hAnsi="Arial" w:cs="Arial"/>
              <w:color w:val="000000"/>
              <w:sz w:val="19"/>
              <w:szCs w:val="19"/>
            </w:rPr>
          </w:pPr>
          <w:r w:rsidRPr="00BE495E">
            <w:rPr>
              <w:rFonts w:ascii="Arial" w:hAnsi="Arial" w:cs="Arial"/>
              <w:color w:val="000000"/>
              <w:sz w:val="19"/>
              <w:szCs w:val="19"/>
            </w:rPr>
            <w:t>Student ID</w:t>
          </w:r>
          <w:r w:rsidR="00E53D51">
            <w:rPr>
              <w:rFonts w:ascii="Arial" w:hAnsi="Arial" w:cs="Arial"/>
              <w:color w:val="000000"/>
              <w:sz w:val="19"/>
              <w:szCs w:val="19"/>
            </w:rPr>
            <w:t>:</w:t>
          </w:r>
        </w:p>
        <w:p w14:paraId="2F81EE73" w14:textId="78DFFA0C" w:rsidR="00E67738" w:rsidRPr="00BE495E" w:rsidRDefault="00EE1B01" w:rsidP="00E67738">
          <w:pPr>
            <w:rPr>
              <w:rFonts w:ascii="Arial" w:hAnsi="Arial" w:cs="Arial"/>
              <w:color w:val="000000"/>
              <w:sz w:val="19"/>
              <w:szCs w:val="19"/>
            </w:rPr>
          </w:pPr>
          <w:r>
            <w:rPr>
              <w:rFonts w:ascii="Arial" w:hAnsi="Arial" w:cs="Arial"/>
              <w:b/>
              <w:bCs/>
              <w:color w:val="000000"/>
              <w:sz w:val="19"/>
              <w:szCs w:val="19"/>
            </w:rPr>
            <w:t>5</w:t>
          </w:r>
          <w:r w:rsidR="001454EF">
            <w:rPr>
              <w:rFonts w:ascii="Arial" w:hAnsi="Arial" w:cs="Arial"/>
              <w:b/>
              <w:bCs/>
              <w:color w:val="000000"/>
              <w:sz w:val="19"/>
              <w:szCs w:val="19"/>
            </w:rPr>
            <w:t>6</w:t>
          </w:r>
          <w:r w:rsidR="00475F3B">
            <w:rPr>
              <w:rFonts w:ascii="Arial" w:hAnsi="Arial" w:cs="Arial"/>
              <w:b/>
              <w:bCs/>
              <w:color w:val="000000"/>
              <w:sz w:val="19"/>
              <w:szCs w:val="19"/>
            </w:rPr>
            <w:t>02780</w:t>
          </w:r>
          <w:r w:rsidR="00E67738" w:rsidRPr="00BE495E">
            <w:rPr>
              <w:rFonts w:ascii="Arial" w:hAnsi="Arial" w:cs="Arial"/>
              <w:b/>
              <w:bCs/>
              <w:color w:val="000000"/>
              <w:sz w:val="19"/>
              <w:szCs w:val="19"/>
            </w:rPr>
            <w:t xml:space="preserve">  </w:t>
          </w:r>
          <w:r w:rsidR="00E67738" w:rsidRPr="00BE495E">
            <w:rPr>
              <w:rFonts w:ascii="Arial" w:hAnsi="Arial" w:cs="Arial"/>
              <w:color w:val="000000"/>
              <w:sz w:val="19"/>
              <w:szCs w:val="19"/>
            </w:rPr>
            <w:t xml:space="preserve">              </w:t>
          </w:r>
        </w:p>
      </w:tc>
      <w:tc>
        <w:tcPr>
          <w:tcW w:w="7216" w:type="dxa"/>
          <w:shd w:val="clear" w:color="auto" w:fill="DDEBF7"/>
        </w:tcPr>
        <w:p w14:paraId="26A58FAA" w14:textId="0D09F984" w:rsidR="00E67738" w:rsidRDefault="00E67738" w:rsidP="00E67738">
          <w:pPr>
            <w:rPr>
              <w:rFonts w:ascii="Arial" w:hAnsi="Arial" w:cs="Arial"/>
              <w:color w:val="000000"/>
              <w:sz w:val="19"/>
              <w:szCs w:val="19"/>
            </w:rPr>
          </w:pPr>
          <w:r w:rsidRPr="00BE495E">
            <w:rPr>
              <w:rFonts w:ascii="Arial" w:hAnsi="Arial" w:cs="Arial"/>
              <w:color w:val="000000"/>
              <w:sz w:val="19"/>
              <w:szCs w:val="19"/>
            </w:rPr>
            <w:t>C</w:t>
          </w:r>
          <w:r>
            <w:rPr>
              <w:rFonts w:ascii="Arial" w:hAnsi="Arial" w:cs="Arial"/>
              <w:color w:val="000000"/>
              <w:sz w:val="19"/>
              <w:szCs w:val="19"/>
            </w:rPr>
            <w:t>omponent</w:t>
          </w:r>
          <w:r w:rsidR="00E53D51">
            <w:rPr>
              <w:rFonts w:ascii="Arial" w:hAnsi="Arial" w:cs="Arial"/>
              <w:color w:val="000000"/>
              <w:sz w:val="19"/>
              <w:szCs w:val="19"/>
            </w:rPr>
            <w:t xml:space="preserve"> Title and Weighting:</w:t>
          </w:r>
        </w:p>
        <w:p w14:paraId="38853716" w14:textId="5F34E22F" w:rsidR="00E67738" w:rsidRPr="00A736AB" w:rsidRDefault="00A736AB" w:rsidP="00E67738">
          <w:pPr>
            <w:rPr>
              <w:rFonts w:ascii="Arial" w:hAnsi="Arial" w:cs="Arial"/>
              <w:b/>
              <w:bCs/>
              <w:color w:val="000000"/>
              <w:sz w:val="19"/>
              <w:szCs w:val="19"/>
            </w:rPr>
          </w:pPr>
          <w:r w:rsidRPr="00A736AB">
            <w:rPr>
              <w:rFonts w:ascii="Arial" w:hAnsi="Arial" w:cs="Arial"/>
              <w:b/>
              <w:bCs/>
              <w:color w:val="000000"/>
              <w:sz w:val="19"/>
              <w:szCs w:val="19"/>
            </w:rPr>
            <w:t>Security and usability trade-offs – 30%</w:t>
          </w:r>
        </w:p>
      </w:tc>
      <w:tc>
        <w:tcPr>
          <w:tcW w:w="8115" w:type="dxa"/>
          <w:shd w:val="clear" w:color="auto" w:fill="DDEBF7"/>
          <w:hideMark/>
        </w:tcPr>
        <w:p w14:paraId="699F2806" w14:textId="52B5E736" w:rsidR="00E67738" w:rsidRDefault="00E67738" w:rsidP="00E67738">
          <w:pPr>
            <w:rPr>
              <w:rFonts w:ascii="Arial" w:hAnsi="Arial" w:cs="Arial"/>
              <w:color w:val="000000"/>
              <w:sz w:val="19"/>
              <w:szCs w:val="19"/>
            </w:rPr>
          </w:pPr>
          <w:r w:rsidRPr="00BE495E">
            <w:rPr>
              <w:rFonts w:ascii="Arial" w:hAnsi="Arial" w:cs="Arial"/>
              <w:color w:val="000000"/>
              <w:sz w:val="19"/>
              <w:szCs w:val="19"/>
            </w:rPr>
            <w:t>Marker</w:t>
          </w:r>
          <w:r w:rsidR="00E53D51">
            <w:rPr>
              <w:rFonts w:ascii="Arial" w:hAnsi="Arial" w:cs="Arial"/>
              <w:color w:val="000000"/>
              <w:sz w:val="19"/>
              <w:szCs w:val="19"/>
            </w:rPr>
            <w:t>:</w:t>
          </w:r>
        </w:p>
        <w:p w14:paraId="19CF50A3" w14:textId="39914FD6" w:rsidR="00E67738" w:rsidRPr="00BE495E" w:rsidRDefault="00FA4FF2" w:rsidP="00E67738">
          <w:pPr>
            <w:rPr>
              <w:rFonts w:ascii="Arial" w:hAnsi="Arial" w:cs="Arial"/>
              <w:b/>
              <w:bCs/>
              <w:color w:val="000000"/>
              <w:sz w:val="19"/>
              <w:szCs w:val="19"/>
            </w:rPr>
          </w:pPr>
          <w:r>
            <w:rPr>
              <w:rFonts w:ascii="Arial" w:hAnsi="Arial" w:cs="Arial"/>
              <w:b/>
              <w:bCs/>
              <w:color w:val="000000"/>
              <w:sz w:val="19"/>
              <w:szCs w:val="19"/>
            </w:rPr>
            <w:t>ET</w:t>
          </w:r>
        </w:p>
        <w:p w14:paraId="41554A9E" w14:textId="77777777" w:rsidR="00E67738" w:rsidRPr="00BE495E" w:rsidRDefault="00E67738" w:rsidP="00E67738">
          <w:pPr>
            <w:rPr>
              <w:rFonts w:ascii="Arial" w:hAnsi="Arial" w:cs="Arial"/>
              <w:color w:val="000000"/>
              <w:sz w:val="19"/>
              <w:szCs w:val="19"/>
            </w:rPr>
          </w:pPr>
          <w:r w:rsidRPr="00BE495E">
            <w:rPr>
              <w:rFonts w:ascii="Arial" w:hAnsi="Arial" w:cs="Arial"/>
              <w:color w:val="000000"/>
              <w:sz w:val="19"/>
              <w:szCs w:val="19"/>
            </w:rPr>
            <w:t> </w:t>
          </w:r>
        </w:p>
      </w:tc>
    </w:tr>
  </w:tbl>
  <w:p w14:paraId="34971161" w14:textId="64AC44A6" w:rsidR="00B25A27" w:rsidRDefault="00E10667" w:rsidP="00E10667">
    <w:pPr>
      <w:pStyle w:val="Header"/>
      <w:jc w:val="right"/>
    </w:pPr>
    <w:r>
      <w:rPr>
        <w:noProof/>
      </w:rPr>
      <w:tab/>
    </w:r>
    <w:r>
      <w:rPr>
        <w:noProof/>
      </w:rPr>
      <w:tab/>
    </w:r>
    <w:r w:rsidR="6BD86981">
      <w:rPr>
        <w:noProof/>
      </w:rPr>
      <w:t xml:space="preserve">                                                                                                                                                           Page </w:t>
    </w:r>
    <w:r w:rsidR="00B25A27" w:rsidRPr="00A2506B">
      <w:rPr>
        <w:b/>
        <w:bCs/>
        <w:noProof/>
      </w:rPr>
      <w:fldChar w:fldCharType="begin"/>
    </w:r>
    <w:r w:rsidR="00B25A27" w:rsidRPr="00A2506B">
      <w:rPr>
        <w:b/>
        <w:bCs/>
        <w:noProof/>
      </w:rPr>
      <w:instrText xml:space="preserve"> PAGE  \* Arabic  \* MERGEFORMAT </w:instrText>
    </w:r>
    <w:r w:rsidR="00B25A27" w:rsidRPr="00A2506B">
      <w:rPr>
        <w:b/>
        <w:bCs/>
        <w:noProof/>
      </w:rPr>
      <w:fldChar w:fldCharType="separate"/>
    </w:r>
    <w:r w:rsidR="6BD86981">
      <w:rPr>
        <w:b/>
        <w:bCs/>
        <w:noProof/>
      </w:rPr>
      <w:t>1</w:t>
    </w:r>
    <w:r w:rsidR="00B25A27" w:rsidRPr="00A2506B">
      <w:rPr>
        <w:b/>
        <w:bCs/>
        <w:noProof/>
      </w:rPr>
      <w:fldChar w:fldCharType="end"/>
    </w:r>
    <w:r w:rsidR="6BD86981">
      <w:rPr>
        <w:noProof/>
      </w:rPr>
      <w:t xml:space="preserve"> of </w:t>
    </w:r>
    <w:r w:rsidR="00B25A27" w:rsidRPr="00A2506B">
      <w:rPr>
        <w:b/>
        <w:bCs/>
        <w:noProof/>
      </w:rPr>
      <w:fldChar w:fldCharType="begin"/>
    </w:r>
    <w:r w:rsidR="00B25A27" w:rsidRPr="00A2506B">
      <w:rPr>
        <w:b/>
        <w:bCs/>
        <w:noProof/>
      </w:rPr>
      <w:instrText xml:space="preserve"> NUMPAGES  \* Arabic  \* MERGEFORMAT </w:instrText>
    </w:r>
    <w:r w:rsidR="00B25A27" w:rsidRPr="00A2506B">
      <w:rPr>
        <w:b/>
        <w:bCs/>
        <w:noProof/>
      </w:rPr>
      <w:fldChar w:fldCharType="separate"/>
    </w:r>
    <w:r w:rsidR="6BD86981">
      <w:rPr>
        <w:b/>
        <w:bCs/>
        <w:noProof/>
      </w:rPr>
      <w:t>4</w:t>
    </w:r>
    <w:r w:rsidR="00B25A27" w:rsidRPr="00A2506B">
      <w:rPr>
        <w:b/>
        <w:bCs/>
        <w:noProof/>
      </w:rPr>
      <w:fldChar w:fldCharType="end"/>
    </w:r>
    <w:r w:rsidR="00E14E4D">
      <w:tab/>
    </w:r>
    <w:r w:rsidR="6BD8698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1B4"/>
    <w:multiLevelType w:val="multilevel"/>
    <w:tmpl w:val="C15EE8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952D93"/>
    <w:multiLevelType w:val="multilevel"/>
    <w:tmpl w:val="1C4C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DCE"/>
    <w:multiLevelType w:val="multilevel"/>
    <w:tmpl w:val="979A8D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93943AB"/>
    <w:multiLevelType w:val="multilevel"/>
    <w:tmpl w:val="8F32D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916C63"/>
    <w:multiLevelType w:val="multilevel"/>
    <w:tmpl w:val="B0B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9116D"/>
    <w:multiLevelType w:val="multilevel"/>
    <w:tmpl w:val="4AD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E6550"/>
    <w:multiLevelType w:val="multilevel"/>
    <w:tmpl w:val="DC0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398B"/>
    <w:multiLevelType w:val="multilevel"/>
    <w:tmpl w:val="6F0226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363D86"/>
    <w:multiLevelType w:val="multilevel"/>
    <w:tmpl w:val="EEA0FD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12F310F"/>
    <w:multiLevelType w:val="multilevel"/>
    <w:tmpl w:val="A6F0C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8B56266"/>
    <w:multiLevelType w:val="multilevel"/>
    <w:tmpl w:val="5E2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70F7B"/>
    <w:multiLevelType w:val="multilevel"/>
    <w:tmpl w:val="44165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4990BEF"/>
    <w:multiLevelType w:val="multilevel"/>
    <w:tmpl w:val="08B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C090C"/>
    <w:multiLevelType w:val="multilevel"/>
    <w:tmpl w:val="682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D6D93"/>
    <w:multiLevelType w:val="hybridMultilevel"/>
    <w:tmpl w:val="BB30A160"/>
    <w:lvl w:ilvl="0" w:tplc="920680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68708C"/>
    <w:multiLevelType w:val="multilevel"/>
    <w:tmpl w:val="D61216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F802CB1"/>
    <w:multiLevelType w:val="multilevel"/>
    <w:tmpl w:val="FB4E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623135">
    <w:abstractNumId w:val="16"/>
  </w:num>
  <w:num w:numId="2" w16cid:durableId="1694453923">
    <w:abstractNumId w:val="1"/>
  </w:num>
  <w:num w:numId="3" w16cid:durableId="988368619">
    <w:abstractNumId w:val="5"/>
  </w:num>
  <w:num w:numId="4" w16cid:durableId="2136092685">
    <w:abstractNumId w:val="10"/>
  </w:num>
  <w:num w:numId="5" w16cid:durableId="447283922">
    <w:abstractNumId w:val="3"/>
  </w:num>
  <w:num w:numId="6" w16cid:durableId="924607866">
    <w:abstractNumId w:val="11"/>
  </w:num>
  <w:num w:numId="7" w16cid:durableId="1484349522">
    <w:abstractNumId w:val="15"/>
  </w:num>
  <w:num w:numId="8" w16cid:durableId="871306368">
    <w:abstractNumId w:val="7"/>
  </w:num>
  <w:num w:numId="9" w16cid:durableId="1739594135">
    <w:abstractNumId w:val="0"/>
  </w:num>
  <w:num w:numId="10" w16cid:durableId="228544568">
    <w:abstractNumId w:val="8"/>
  </w:num>
  <w:num w:numId="11" w16cid:durableId="519389986">
    <w:abstractNumId w:val="2"/>
  </w:num>
  <w:num w:numId="12" w16cid:durableId="63914067">
    <w:abstractNumId w:val="9"/>
  </w:num>
  <w:num w:numId="13" w16cid:durableId="943149033">
    <w:abstractNumId w:val="12"/>
  </w:num>
  <w:num w:numId="14" w16cid:durableId="1711296628">
    <w:abstractNumId w:val="14"/>
  </w:num>
  <w:num w:numId="15" w16cid:durableId="1986548611">
    <w:abstractNumId w:val="4"/>
  </w:num>
  <w:num w:numId="16" w16cid:durableId="547035622">
    <w:abstractNumId w:val="6"/>
  </w:num>
  <w:num w:numId="17" w16cid:durableId="1943487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07C1B"/>
    <w:rsid w:val="0005143D"/>
    <w:rsid w:val="000542C1"/>
    <w:rsid w:val="00094126"/>
    <w:rsid w:val="000E6BF1"/>
    <w:rsid w:val="001256DF"/>
    <w:rsid w:val="001454EF"/>
    <w:rsid w:val="00170743"/>
    <w:rsid w:val="001840AE"/>
    <w:rsid w:val="00186FF7"/>
    <w:rsid w:val="00187966"/>
    <w:rsid w:val="001E1AB9"/>
    <w:rsid w:val="001E4F6D"/>
    <w:rsid w:val="00206AA5"/>
    <w:rsid w:val="00214A47"/>
    <w:rsid w:val="00214ABD"/>
    <w:rsid w:val="002331BE"/>
    <w:rsid w:val="002470DB"/>
    <w:rsid w:val="00275424"/>
    <w:rsid w:val="00293ADA"/>
    <w:rsid w:val="00296DF0"/>
    <w:rsid w:val="002B6977"/>
    <w:rsid w:val="002D6BBD"/>
    <w:rsid w:val="00305A36"/>
    <w:rsid w:val="00323545"/>
    <w:rsid w:val="00334F55"/>
    <w:rsid w:val="00357D4A"/>
    <w:rsid w:val="00362274"/>
    <w:rsid w:val="00367930"/>
    <w:rsid w:val="00380D9D"/>
    <w:rsid w:val="003C6973"/>
    <w:rsid w:val="004411BA"/>
    <w:rsid w:val="00470E2D"/>
    <w:rsid w:val="00475F3B"/>
    <w:rsid w:val="00476260"/>
    <w:rsid w:val="004960E5"/>
    <w:rsid w:val="00496BEB"/>
    <w:rsid w:val="004C4883"/>
    <w:rsid w:val="004C76CF"/>
    <w:rsid w:val="004E58A5"/>
    <w:rsid w:val="004E5E34"/>
    <w:rsid w:val="00531767"/>
    <w:rsid w:val="005622D3"/>
    <w:rsid w:val="00585942"/>
    <w:rsid w:val="005D35D9"/>
    <w:rsid w:val="005F78D8"/>
    <w:rsid w:val="006576A1"/>
    <w:rsid w:val="00662F1F"/>
    <w:rsid w:val="006B213C"/>
    <w:rsid w:val="006B70CB"/>
    <w:rsid w:val="006F5DA5"/>
    <w:rsid w:val="007214EE"/>
    <w:rsid w:val="00746C78"/>
    <w:rsid w:val="007B5177"/>
    <w:rsid w:val="007C1D0A"/>
    <w:rsid w:val="007F7FEB"/>
    <w:rsid w:val="00806C08"/>
    <w:rsid w:val="00837DC6"/>
    <w:rsid w:val="00862948"/>
    <w:rsid w:val="008835BB"/>
    <w:rsid w:val="0089366D"/>
    <w:rsid w:val="008B5C33"/>
    <w:rsid w:val="008D1FE4"/>
    <w:rsid w:val="008E24A6"/>
    <w:rsid w:val="008E5ADE"/>
    <w:rsid w:val="009077A9"/>
    <w:rsid w:val="00987B5B"/>
    <w:rsid w:val="00992CDD"/>
    <w:rsid w:val="009B01D2"/>
    <w:rsid w:val="009B1E73"/>
    <w:rsid w:val="009D6278"/>
    <w:rsid w:val="009D7E98"/>
    <w:rsid w:val="00A07D6A"/>
    <w:rsid w:val="00A42056"/>
    <w:rsid w:val="00A45B2F"/>
    <w:rsid w:val="00A46013"/>
    <w:rsid w:val="00A5008C"/>
    <w:rsid w:val="00A54B44"/>
    <w:rsid w:val="00A5548D"/>
    <w:rsid w:val="00A576D6"/>
    <w:rsid w:val="00A66979"/>
    <w:rsid w:val="00A70C26"/>
    <w:rsid w:val="00A736AB"/>
    <w:rsid w:val="00AA5101"/>
    <w:rsid w:val="00AC483C"/>
    <w:rsid w:val="00AC63F9"/>
    <w:rsid w:val="00AE424E"/>
    <w:rsid w:val="00AE424F"/>
    <w:rsid w:val="00B25A27"/>
    <w:rsid w:val="00B63E1F"/>
    <w:rsid w:val="00B74E96"/>
    <w:rsid w:val="00BC091C"/>
    <w:rsid w:val="00BD0487"/>
    <w:rsid w:val="00C10DBE"/>
    <w:rsid w:val="00C44EB5"/>
    <w:rsid w:val="00C66527"/>
    <w:rsid w:val="00CA4F4B"/>
    <w:rsid w:val="00CC6038"/>
    <w:rsid w:val="00CE44F9"/>
    <w:rsid w:val="00CE673B"/>
    <w:rsid w:val="00CE6CF1"/>
    <w:rsid w:val="00D10D5D"/>
    <w:rsid w:val="00D14756"/>
    <w:rsid w:val="00D45892"/>
    <w:rsid w:val="00D542B7"/>
    <w:rsid w:val="00D9029E"/>
    <w:rsid w:val="00D96035"/>
    <w:rsid w:val="00DD2425"/>
    <w:rsid w:val="00DE13BE"/>
    <w:rsid w:val="00DE14A1"/>
    <w:rsid w:val="00E014B9"/>
    <w:rsid w:val="00E04042"/>
    <w:rsid w:val="00E10667"/>
    <w:rsid w:val="00E14E4D"/>
    <w:rsid w:val="00E154AA"/>
    <w:rsid w:val="00E24B93"/>
    <w:rsid w:val="00E327CA"/>
    <w:rsid w:val="00E32CD7"/>
    <w:rsid w:val="00E53D51"/>
    <w:rsid w:val="00E55799"/>
    <w:rsid w:val="00E659B0"/>
    <w:rsid w:val="00E65F5F"/>
    <w:rsid w:val="00E67738"/>
    <w:rsid w:val="00E71AA3"/>
    <w:rsid w:val="00EA2AD3"/>
    <w:rsid w:val="00EE1B01"/>
    <w:rsid w:val="00EF713E"/>
    <w:rsid w:val="00F47A70"/>
    <w:rsid w:val="00F61DD5"/>
    <w:rsid w:val="00FA4FF2"/>
    <w:rsid w:val="00FB3671"/>
    <w:rsid w:val="00FE7493"/>
    <w:rsid w:val="22E9F9BE"/>
    <w:rsid w:val="33B6F10A"/>
    <w:rsid w:val="3D52FEE1"/>
    <w:rsid w:val="3D692E01"/>
    <w:rsid w:val="3E3695B2"/>
    <w:rsid w:val="4452F968"/>
    <w:rsid w:val="4C9C5BBC"/>
    <w:rsid w:val="5B0A7576"/>
    <w:rsid w:val="63408888"/>
    <w:rsid w:val="6BD86981"/>
    <w:rsid w:val="7BF3E166"/>
    <w:rsid w:val="7BFE2EA7"/>
    <w:rsid w:val="7C394824"/>
    <w:rsid w:val="7D1E80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4EF"/>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44F9"/>
    <w:pPr>
      <w:tabs>
        <w:tab w:val="center" w:pos="4513"/>
        <w:tab w:val="right" w:pos="9026"/>
      </w:tabs>
    </w:pPr>
  </w:style>
  <w:style w:type="character" w:customStyle="1" w:styleId="HeaderChar">
    <w:name w:val="Header Char"/>
    <w:basedOn w:val="DefaultParagraphFont"/>
    <w:link w:val="Header"/>
    <w:uiPriority w:val="99"/>
    <w:rsid w:val="00CE44F9"/>
  </w:style>
  <w:style w:type="paragraph" w:styleId="Footer">
    <w:name w:val="footer"/>
    <w:basedOn w:val="Normal"/>
    <w:link w:val="FooterChar"/>
    <w:uiPriority w:val="99"/>
    <w:unhideWhenUsed/>
    <w:rsid w:val="00CE44F9"/>
    <w:pPr>
      <w:tabs>
        <w:tab w:val="center" w:pos="4513"/>
        <w:tab w:val="right" w:pos="9026"/>
      </w:tabs>
    </w:pPr>
  </w:style>
  <w:style w:type="character" w:customStyle="1" w:styleId="FooterChar">
    <w:name w:val="Footer Char"/>
    <w:basedOn w:val="DefaultParagraphFont"/>
    <w:link w:val="Footer"/>
    <w:uiPriority w:val="99"/>
    <w:rsid w:val="00CE44F9"/>
  </w:style>
  <w:style w:type="character" w:styleId="Hyperlink">
    <w:name w:val="Hyperlink"/>
    <w:basedOn w:val="DefaultParagraphFont"/>
    <w:uiPriority w:val="99"/>
    <w:unhideWhenUsed/>
    <w:rsid w:val="00CE6CF1"/>
    <w:rPr>
      <w:color w:val="0563C1" w:themeColor="hyperlink"/>
      <w:u w:val="single"/>
    </w:rPr>
  </w:style>
  <w:style w:type="character" w:styleId="UnresolvedMention">
    <w:name w:val="Unresolved Mention"/>
    <w:basedOn w:val="DefaultParagraphFont"/>
    <w:uiPriority w:val="99"/>
    <w:semiHidden/>
    <w:unhideWhenUsed/>
    <w:rsid w:val="00CE6CF1"/>
    <w:rPr>
      <w:color w:val="605E5C"/>
      <w:shd w:val="clear" w:color="auto" w:fill="E1DFDD"/>
    </w:rPr>
  </w:style>
  <w:style w:type="paragraph" w:styleId="NormalWeb">
    <w:name w:val="Normal (Web)"/>
    <w:basedOn w:val="Normal"/>
    <w:uiPriority w:val="99"/>
    <w:semiHidden/>
    <w:unhideWhenUsed/>
    <w:rsid w:val="00987B5B"/>
  </w:style>
  <w:style w:type="paragraph" w:styleId="ListParagraph">
    <w:name w:val="List Paragraph"/>
    <w:basedOn w:val="Normal"/>
    <w:uiPriority w:val="34"/>
    <w:qFormat/>
    <w:rsid w:val="001454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livewarwickac-my.sharepoint.com/personal/u1671229_live_warwick_ac_uk/Documents/Microsoft%20Copilot%20Chat%20Files/wm241%20-%205602780%20-%20HBCS_cw1_u5602780.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88ce50a402cb12825eabe71ada059768">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04de03cf51fb010d2d492b1396b0fd"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415DFE-3C0A-4FC9-97F9-D604342FEC5F}">
  <ds:schemaRefs>
    <ds:schemaRef ds:uri="http://schemas.microsoft.com/sharepoint/v3/contenttype/forms"/>
  </ds:schemaRefs>
</ds:datastoreItem>
</file>

<file path=customXml/itemProps2.xml><?xml version="1.0" encoding="utf-8"?>
<ds:datastoreItem xmlns:ds="http://schemas.openxmlformats.org/officeDocument/2006/customXml" ds:itemID="{4615B497-E006-4B38-9665-C77E6A4A5BA4}">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3.xml><?xml version="1.0" encoding="utf-8"?>
<ds:datastoreItem xmlns:ds="http://schemas.openxmlformats.org/officeDocument/2006/customXml" ds:itemID="{091E5CCB-0C13-455D-A15A-F71C948B4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Amy</dc:creator>
  <cp:keywords/>
  <dc:description/>
  <cp:lastModifiedBy>Elisabeth Titis</cp:lastModifiedBy>
  <cp:revision>5</cp:revision>
  <dcterms:created xsi:type="dcterms:W3CDTF">2026-01-11T19:52:00Z</dcterms:created>
  <dcterms:modified xsi:type="dcterms:W3CDTF">2026-01-11T20:05:00Z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ies>
</file>