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20A6" w14:textId="37760623" w:rsidR="00465036" w:rsidRPr="005003BB" w:rsidRDefault="00465036" w:rsidP="000E0F4A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t>Sensitivity Analysis</w:t>
      </w:r>
    </w:p>
    <w:p w14:paraId="1A2D80B6" w14:textId="5DDCE8FB" w:rsidR="00C96966" w:rsidRDefault="00C1367E" w:rsidP="00650E95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specified above, our sample size was determined by an a-priori power analysis for linear regressions. </w:t>
      </w:r>
      <w:r w:rsidR="00683CA6">
        <w:rPr>
          <w:rFonts w:ascii="Times New Roman" w:hAnsi="Times New Roman" w:cs="Times New Roman"/>
        </w:rPr>
        <w:t xml:space="preserve">Given that we </w:t>
      </w:r>
      <w:r>
        <w:rPr>
          <w:rFonts w:ascii="Times New Roman" w:hAnsi="Times New Roman" w:cs="Times New Roman"/>
        </w:rPr>
        <w:t xml:space="preserve">deviated from </w:t>
      </w:r>
      <w:r w:rsidR="00683CA6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pre-regist</w:t>
      </w:r>
      <w:r w:rsidR="00683CA6">
        <w:rPr>
          <w:rFonts w:ascii="Times New Roman" w:hAnsi="Times New Roman" w:cs="Times New Roman"/>
        </w:rPr>
        <w:t>ered</w:t>
      </w:r>
      <w:r w:rsidR="00E75C92">
        <w:rPr>
          <w:rFonts w:ascii="Times New Roman" w:hAnsi="Times New Roman" w:cs="Times New Roman"/>
        </w:rPr>
        <w:t xml:space="preserve"> analysis</w:t>
      </w:r>
      <w:r w:rsidR="00683CA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after collecting a full sample</w:t>
      </w:r>
      <w:r w:rsidR="004D03F3">
        <w:rPr>
          <w:rFonts w:ascii="Times New Roman" w:hAnsi="Times New Roman" w:cs="Times New Roman"/>
        </w:rPr>
        <w:t>, we opted to conduct s</w:t>
      </w:r>
      <w:r w:rsidR="000E0F4A" w:rsidRPr="002860E5">
        <w:rPr>
          <w:rFonts w:ascii="Times New Roman" w:hAnsi="Times New Roman" w:cs="Times New Roman"/>
        </w:rPr>
        <w:t>imulation-based sensitivity analyses to evaluate the power of the</w:t>
      </w:r>
      <w:r w:rsidR="00B16916">
        <w:rPr>
          <w:rFonts w:ascii="Times New Roman" w:hAnsi="Times New Roman" w:cs="Times New Roman"/>
        </w:rPr>
        <w:t xml:space="preserve"> accuracy and the</w:t>
      </w:r>
      <w:r w:rsidR="000E0F4A" w:rsidRPr="002860E5">
        <w:rPr>
          <w:rFonts w:ascii="Times New Roman" w:hAnsi="Times New Roman" w:cs="Times New Roman"/>
        </w:rPr>
        <w:t xml:space="preserve"> RT mixed-effects model</w:t>
      </w:r>
      <w:r w:rsidR="00CB6A0F">
        <w:rPr>
          <w:rFonts w:ascii="Times New Roman" w:hAnsi="Times New Roman" w:cs="Times New Roman"/>
        </w:rPr>
        <w:t>s</w:t>
      </w:r>
      <w:r w:rsidR="000E0F4A" w:rsidRPr="002860E5">
        <w:rPr>
          <w:rFonts w:ascii="Times New Roman" w:hAnsi="Times New Roman" w:cs="Times New Roman"/>
        </w:rPr>
        <w:t xml:space="preserve"> to detect effects of plausible magnitude for each fixed predictor, given the observed sample size and variance structure. Across predictors, power increased monotonically with effect size. For child-level predictors (age,</w:t>
      </w:r>
      <w:r w:rsidR="005308F2">
        <w:rPr>
          <w:rFonts w:ascii="Times New Roman" w:hAnsi="Times New Roman" w:cs="Times New Roman"/>
        </w:rPr>
        <w:t xml:space="preserve"> gender,</w:t>
      </w:r>
      <w:r w:rsidR="000E0F4A" w:rsidRPr="002860E5">
        <w:rPr>
          <w:rFonts w:ascii="Times New Roman" w:hAnsi="Times New Roman" w:cs="Times New Roman"/>
        </w:rPr>
        <w:t xml:space="preserve"> income, non-dominant language exposure), </w:t>
      </w:r>
      <w:r w:rsidR="002D7614" w:rsidRPr="002D7614">
        <w:rPr>
          <w:rFonts w:ascii="Times New Roman" w:hAnsi="Times New Roman" w:cs="Times New Roman"/>
        </w:rPr>
        <w:t>power remained below conventional thresholds for effects substantially larger than those observed in our study</w:t>
      </w:r>
      <w:r w:rsidR="002D7614" w:rsidRPr="002D7614">
        <w:rPr>
          <w:rFonts w:ascii="Times New Roman" w:hAnsi="Times New Roman" w:cs="Times New Roman"/>
        </w:rPr>
        <w:t xml:space="preserve"> </w:t>
      </w:r>
      <w:r w:rsidR="00D01FFE">
        <w:rPr>
          <w:rFonts w:ascii="Times New Roman" w:hAnsi="Times New Roman" w:cs="Times New Roman"/>
        </w:rPr>
        <w:t>(</w:t>
      </w:r>
      <w:r w:rsidR="00F1411B">
        <w:rPr>
          <w:rFonts w:ascii="Times New Roman" w:hAnsi="Times New Roman" w:cs="Times New Roman"/>
        </w:rPr>
        <w:t>compare effect sizes needed for 80% power in Table Z below to observed effect sizes in Tables X &amp; Y)</w:t>
      </w:r>
      <w:r w:rsidR="000E0F4A" w:rsidRPr="002860E5">
        <w:rPr>
          <w:rFonts w:ascii="Times New Roman" w:hAnsi="Times New Roman" w:cs="Times New Roman"/>
        </w:rPr>
        <w:t xml:space="preserve">. In contrast, </w:t>
      </w:r>
      <w:r w:rsidR="00F32F5A">
        <w:rPr>
          <w:rFonts w:ascii="Times New Roman" w:hAnsi="Times New Roman" w:cs="Times New Roman"/>
        </w:rPr>
        <w:t xml:space="preserve">both mixed </w:t>
      </w:r>
      <w:r w:rsidR="000E0F4A" w:rsidRPr="002860E5">
        <w:rPr>
          <w:rFonts w:ascii="Times New Roman" w:hAnsi="Times New Roman" w:cs="Times New Roman"/>
        </w:rPr>
        <w:t>model</w:t>
      </w:r>
      <w:r w:rsidR="004B22B6">
        <w:rPr>
          <w:rFonts w:ascii="Times New Roman" w:hAnsi="Times New Roman" w:cs="Times New Roman"/>
        </w:rPr>
        <w:t>s</w:t>
      </w:r>
      <w:r w:rsidR="000E0F4A" w:rsidRPr="002860E5">
        <w:rPr>
          <w:rFonts w:ascii="Times New Roman" w:hAnsi="Times New Roman" w:cs="Times New Roman"/>
        </w:rPr>
        <w:t xml:space="preserve"> demonstrated </w:t>
      </w:r>
      <w:r w:rsidR="00BB3A72">
        <w:rPr>
          <w:rFonts w:ascii="Times New Roman" w:hAnsi="Times New Roman" w:cs="Times New Roman"/>
        </w:rPr>
        <w:t>higher</w:t>
      </w:r>
      <w:r w:rsidR="000E0F4A" w:rsidRPr="002860E5">
        <w:rPr>
          <w:rFonts w:ascii="Times New Roman" w:hAnsi="Times New Roman" w:cs="Times New Roman"/>
        </w:rPr>
        <w:t xml:space="preserve"> power to detect effects associated with t</w:t>
      </w:r>
      <w:r w:rsidR="00D01FFE">
        <w:rPr>
          <w:rFonts w:ascii="Times New Roman" w:hAnsi="Times New Roman" w:cs="Times New Roman"/>
        </w:rPr>
        <w:t>rial</w:t>
      </w:r>
      <w:r w:rsidR="000E0F4A" w:rsidRPr="002860E5">
        <w:rPr>
          <w:rFonts w:ascii="Times New Roman" w:hAnsi="Times New Roman" w:cs="Times New Roman"/>
        </w:rPr>
        <w:t>-level predictors</w:t>
      </w:r>
      <w:r w:rsidR="00D01FFE">
        <w:rPr>
          <w:rFonts w:ascii="Times New Roman" w:hAnsi="Times New Roman" w:cs="Times New Roman"/>
        </w:rPr>
        <w:t xml:space="preserve"> like</w:t>
      </w:r>
      <w:r w:rsidR="000E0F4A" w:rsidRPr="002860E5">
        <w:rPr>
          <w:rFonts w:ascii="Times New Roman" w:hAnsi="Times New Roman" w:cs="Times New Roman"/>
        </w:rPr>
        <w:t xml:space="preserve"> trial number and trial type, for which power exceeded 80% at comparatively smaller effect sizes. These results indicate substantial heterogeneity in sensitivity across predictors, with greater power for within-</w:t>
      </w:r>
      <w:r w:rsidR="00653A6A">
        <w:rPr>
          <w:rFonts w:ascii="Times New Roman" w:hAnsi="Times New Roman" w:cs="Times New Roman"/>
        </w:rPr>
        <w:t>child</w:t>
      </w:r>
      <w:r w:rsidR="000E0F4A" w:rsidRPr="002860E5">
        <w:rPr>
          <w:rFonts w:ascii="Times New Roman" w:hAnsi="Times New Roman" w:cs="Times New Roman"/>
        </w:rPr>
        <w:t xml:space="preserve"> manipulations than for between-child demographic variables.</w:t>
      </w:r>
      <w:r w:rsidR="003C6329">
        <w:rPr>
          <w:rFonts w:ascii="Times New Roman" w:hAnsi="Times New Roman" w:cs="Times New Roman"/>
        </w:rPr>
        <w:t xml:space="preserve"> </w:t>
      </w:r>
      <w:r w:rsidR="00C96966" w:rsidRPr="00C96966">
        <w:rPr>
          <w:rFonts w:ascii="Times New Roman" w:hAnsi="Times New Roman" w:cs="Times New Roman"/>
        </w:rPr>
        <w:t>This pattern was expected given the hierarchical structure of the data, as the effective sample size for child-level predictors was limited to approximately 50 participants, whereas trial-level predictors were estimated over more than 1,000 observations.</w:t>
      </w:r>
    </w:p>
    <w:p w14:paraId="3798C983" w14:textId="77777777" w:rsidR="00C96966" w:rsidRDefault="00C96966" w:rsidP="00ED584D">
      <w:pPr>
        <w:spacing w:after="0"/>
        <w:ind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Z</w:t>
      </w:r>
    </w:p>
    <w:p w14:paraId="4DBEBF90" w14:textId="3492245D" w:rsidR="00150B52" w:rsidRPr="00C96966" w:rsidRDefault="00A27DFB" w:rsidP="00C96966">
      <w:pPr>
        <w:ind w:firstLine="0"/>
        <w:contextualSpacing/>
        <w:rPr>
          <w:rFonts w:ascii="Times New Roman" w:hAnsi="Times New Roman" w:cs="Times New Roman"/>
          <w:i/>
          <w:iCs/>
        </w:rPr>
      </w:pPr>
      <w:r w:rsidRPr="00A27DFB">
        <w:rPr>
          <w:rFonts w:ascii="Times New Roman" w:hAnsi="Times New Roman" w:cs="Times New Roman"/>
          <w:i/>
          <w:iCs/>
        </w:rPr>
        <w:t>Simulation-Based Sensitivity Analysis for Detectable Effects in RT and Accuracy Models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E0F4A" w:rsidRPr="002860E5" w14:paraId="04413EF4" w14:textId="77777777" w:rsidTr="005E19CB"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14:paraId="763381E8" w14:textId="73DA525E" w:rsidR="000E0F4A" w:rsidRPr="005E19CB" w:rsidRDefault="000E0F4A" w:rsidP="000E0F4A">
            <w:pPr>
              <w:ind w:firstLine="0"/>
              <w:rPr>
                <w:rFonts w:ascii="Times New Roman" w:hAnsi="Times New Roman" w:cs="Times New Roman"/>
                <w:b/>
                <w:bCs/>
                <w:lang w:val="en-CA"/>
              </w:rPr>
            </w:pPr>
            <w:r w:rsidRPr="005E19CB">
              <w:rPr>
                <w:rFonts w:ascii="Times New Roman" w:hAnsi="Times New Roman" w:cs="Times New Roman"/>
                <w:b/>
                <w:bCs/>
                <w:lang w:val="en-CA"/>
              </w:rPr>
              <w:t>Accuracy</w:t>
            </w:r>
          </w:p>
        </w:tc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14:paraId="310B9A11" w14:textId="4C2A5E6C" w:rsidR="000E0F4A" w:rsidRPr="005E19CB" w:rsidRDefault="00693EEC" w:rsidP="000E0F4A">
            <w:pPr>
              <w:ind w:firstLine="0"/>
              <w:rPr>
                <w:rFonts w:ascii="Times New Roman" w:hAnsi="Times New Roman" w:cs="Times New Roman"/>
                <w:b/>
                <w:bCs/>
                <w:vertAlign w:val="superscript"/>
                <w:lang w:val="en-CA"/>
              </w:rPr>
            </w:pPr>
            <w:r w:rsidRPr="005E19CB">
              <w:rPr>
                <w:rFonts w:ascii="Times New Roman" w:hAnsi="Times New Roman" w:cs="Times New Roman"/>
                <w:b/>
                <w:bCs/>
                <w:lang w:val="en-CA"/>
              </w:rPr>
              <w:t>Approximate e</w:t>
            </w:r>
            <w:r w:rsidR="001A6655" w:rsidRPr="005E19CB">
              <w:rPr>
                <w:rFonts w:ascii="Times New Roman" w:hAnsi="Times New Roman" w:cs="Times New Roman"/>
                <w:b/>
                <w:bCs/>
                <w:lang w:val="en-CA"/>
              </w:rPr>
              <w:t xml:space="preserve">ffect size for </w:t>
            </w:r>
            <w:r w:rsidR="00FF7A15" w:rsidRPr="005E19CB">
              <w:rPr>
                <w:rFonts w:ascii="Times New Roman" w:hAnsi="Times New Roman" w:cs="Times New Roman"/>
                <w:b/>
                <w:bCs/>
                <w:lang w:val="en-CA"/>
              </w:rPr>
              <w:t>&gt;</w:t>
            </w:r>
            <w:r w:rsidR="001A6655" w:rsidRPr="005E19CB">
              <w:rPr>
                <w:rFonts w:ascii="Times New Roman" w:hAnsi="Times New Roman" w:cs="Times New Roman"/>
                <w:b/>
                <w:bCs/>
                <w:lang w:val="en-CA"/>
              </w:rPr>
              <w:t>80% power</w:t>
            </w:r>
            <w:r w:rsidR="00252AA0" w:rsidRPr="005E19CB">
              <w:rPr>
                <w:rFonts w:ascii="Times New Roman" w:hAnsi="Times New Roman" w:cs="Times New Roman"/>
                <w:b/>
                <w:bCs/>
                <w:vertAlign w:val="superscript"/>
                <w:lang w:val="en-CA"/>
              </w:rPr>
              <w:t>1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14:paraId="25225086" w14:textId="4D3DA207" w:rsidR="000E0F4A" w:rsidRPr="005E19CB" w:rsidRDefault="000E0F4A" w:rsidP="000E0F4A">
            <w:pPr>
              <w:ind w:firstLine="0"/>
              <w:rPr>
                <w:rFonts w:ascii="Times New Roman" w:hAnsi="Times New Roman" w:cs="Times New Roman"/>
                <w:b/>
                <w:bCs/>
                <w:lang w:val="en-CA"/>
              </w:rPr>
            </w:pPr>
            <w:r w:rsidRPr="005E19CB">
              <w:rPr>
                <w:rFonts w:ascii="Times New Roman" w:hAnsi="Times New Roman" w:cs="Times New Roman"/>
                <w:b/>
                <w:bCs/>
                <w:lang w:val="en-CA"/>
              </w:rPr>
              <w:t>RT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14:paraId="3077F00F" w14:textId="4A93EC97" w:rsidR="000E0F4A" w:rsidRPr="005E19CB" w:rsidRDefault="00B71223" w:rsidP="000E0F4A">
            <w:pPr>
              <w:ind w:firstLine="0"/>
              <w:rPr>
                <w:rFonts w:ascii="Times New Roman" w:hAnsi="Times New Roman" w:cs="Times New Roman"/>
                <w:b/>
                <w:bCs/>
                <w:vertAlign w:val="superscript"/>
                <w:lang w:val="en-CA"/>
              </w:rPr>
            </w:pPr>
            <w:r w:rsidRPr="005E19CB">
              <w:rPr>
                <w:rFonts w:ascii="Times New Roman" w:hAnsi="Times New Roman" w:cs="Times New Roman"/>
                <w:b/>
                <w:bCs/>
                <w:lang w:val="en-CA"/>
              </w:rPr>
              <w:t>Approximate e</w:t>
            </w:r>
            <w:r w:rsidR="001A6655" w:rsidRPr="005E19CB">
              <w:rPr>
                <w:rFonts w:ascii="Times New Roman" w:hAnsi="Times New Roman" w:cs="Times New Roman"/>
                <w:b/>
                <w:bCs/>
                <w:lang w:val="en-CA"/>
              </w:rPr>
              <w:t xml:space="preserve">ffect size for </w:t>
            </w:r>
            <w:r w:rsidR="002660DA" w:rsidRPr="005E19CB">
              <w:rPr>
                <w:rFonts w:ascii="Times New Roman" w:hAnsi="Times New Roman" w:cs="Times New Roman"/>
                <w:b/>
                <w:bCs/>
                <w:lang w:val="en-CA"/>
              </w:rPr>
              <w:t>&gt;</w:t>
            </w:r>
            <w:r w:rsidR="001A6655" w:rsidRPr="005E19CB">
              <w:rPr>
                <w:rFonts w:ascii="Times New Roman" w:hAnsi="Times New Roman" w:cs="Times New Roman"/>
                <w:b/>
                <w:bCs/>
                <w:lang w:val="en-CA"/>
              </w:rPr>
              <w:t>80% power</w:t>
            </w:r>
            <w:r w:rsidR="00252AA0" w:rsidRPr="005E19CB">
              <w:rPr>
                <w:rFonts w:ascii="Times New Roman" w:hAnsi="Times New Roman" w:cs="Times New Roman"/>
                <w:b/>
                <w:bCs/>
                <w:vertAlign w:val="superscript"/>
                <w:lang w:val="en-CA"/>
              </w:rPr>
              <w:t>2</w:t>
            </w:r>
          </w:p>
        </w:tc>
      </w:tr>
      <w:tr w:rsidR="005A2FA3" w:rsidRPr="002860E5" w14:paraId="52CB156C" w14:textId="77777777" w:rsidTr="005E19CB">
        <w:tc>
          <w:tcPr>
            <w:tcW w:w="2337" w:type="dxa"/>
            <w:tcBorders>
              <w:top w:val="single" w:sz="4" w:space="0" w:color="auto"/>
            </w:tcBorders>
          </w:tcPr>
          <w:p w14:paraId="5618BF67" w14:textId="3F76AC42" w:rsidR="005A2FA3" w:rsidRPr="002860E5" w:rsidRDefault="005A2FA3" w:rsidP="005A2FA3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 w:rsidRPr="002860E5">
              <w:rPr>
                <w:rFonts w:ascii="Times New Roman" w:hAnsi="Times New Roman" w:cs="Times New Roman"/>
              </w:rPr>
              <w:t>Age (months)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0E73A511" w14:textId="364CDC1D" w:rsidR="005A2FA3" w:rsidRPr="002860E5" w:rsidRDefault="00EC4FC8" w:rsidP="005A2FA3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  <w:lang w:val="en-CA"/>
              </w:rPr>
              <w:t>1.15</w:t>
            </w:r>
          </w:p>
        </w:tc>
        <w:tc>
          <w:tcPr>
            <w:tcW w:w="2338" w:type="dxa"/>
            <w:tcBorders>
              <w:top w:val="single" w:sz="4" w:space="0" w:color="auto"/>
            </w:tcBorders>
          </w:tcPr>
          <w:p w14:paraId="05903E11" w14:textId="17423D92" w:rsidR="005A2FA3" w:rsidRPr="002860E5" w:rsidRDefault="005A2FA3" w:rsidP="005A2FA3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 w:rsidRPr="002860E5">
              <w:rPr>
                <w:rFonts w:ascii="Times New Roman" w:hAnsi="Times New Roman" w:cs="Times New Roman"/>
              </w:rPr>
              <w:t>Age (months)</w:t>
            </w:r>
          </w:p>
        </w:tc>
        <w:tc>
          <w:tcPr>
            <w:tcW w:w="2338" w:type="dxa"/>
            <w:tcBorders>
              <w:top w:val="single" w:sz="4" w:space="0" w:color="auto"/>
            </w:tcBorders>
          </w:tcPr>
          <w:p w14:paraId="09A9D132" w14:textId="0824AC91" w:rsidR="005A2FA3" w:rsidRPr="002860E5" w:rsidRDefault="00BC4C3B" w:rsidP="005A2FA3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  <w:lang w:val="en-CA"/>
              </w:rPr>
              <w:t>-</w:t>
            </w:r>
            <w:r w:rsidR="001A6655" w:rsidRPr="002860E5">
              <w:rPr>
                <w:rFonts w:ascii="Times New Roman" w:hAnsi="Times New Roman" w:cs="Times New Roman"/>
                <w:lang w:val="en-CA"/>
              </w:rPr>
              <w:t>4%</w:t>
            </w:r>
          </w:p>
        </w:tc>
      </w:tr>
      <w:tr w:rsidR="005A2FA3" w:rsidRPr="002860E5" w14:paraId="5C3D9D57" w14:textId="77777777" w:rsidTr="005E19CB">
        <w:tc>
          <w:tcPr>
            <w:tcW w:w="2337" w:type="dxa"/>
          </w:tcPr>
          <w:p w14:paraId="5401BB28" w14:textId="14A65B21" w:rsidR="005A2FA3" w:rsidRPr="002860E5" w:rsidRDefault="005A2FA3" w:rsidP="005A2FA3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 w:rsidRPr="002860E5">
              <w:rPr>
                <w:rFonts w:ascii="Times New Roman" w:hAnsi="Times New Roman" w:cs="Times New Roman"/>
              </w:rPr>
              <w:t>Gender (girl/boy)</w:t>
            </w:r>
          </w:p>
        </w:tc>
        <w:tc>
          <w:tcPr>
            <w:tcW w:w="2337" w:type="dxa"/>
          </w:tcPr>
          <w:p w14:paraId="6175CF16" w14:textId="55E7F424" w:rsidR="005A2FA3" w:rsidRPr="002860E5" w:rsidRDefault="00242795" w:rsidP="005A2FA3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  <w:lang w:val="en-CA"/>
              </w:rPr>
              <w:t>0.4</w:t>
            </w:r>
          </w:p>
        </w:tc>
        <w:tc>
          <w:tcPr>
            <w:tcW w:w="2338" w:type="dxa"/>
          </w:tcPr>
          <w:p w14:paraId="7F966BDC" w14:textId="6340BC50" w:rsidR="005A2FA3" w:rsidRPr="002860E5" w:rsidRDefault="005A2FA3" w:rsidP="005A2FA3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 w:rsidRPr="002860E5">
              <w:rPr>
                <w:rFonts w:ascii="Times New Roman" w:hAnsi="Times New Roman" w:cs="Times New Roman"/>
              </w:rPr>
              <w:t>Gender (girl/boy)</w:t>
            </w:r>
          </w:p>
        </w:tc>
        <w:tc>
          <w:tcPr>
            <w:tcW w:w="2338" w:type="dxa"/>
          </w:tcPr>
          <w:p w14:paraId="48B4D434" w14:textId="137FEB6E" w:rsidR="005A2FA3" w:rsidRPr="002860E5" w:rsidRDefault="007D2025" w:rsidP="005A2FA3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  <w:lang w:val="en-CA"/>
              </w:rPr>
              <w:t>-</w:t>
            </w:r>
            <w:r w:rsidR="00DF3C5A" w:rsidRPr="002860E5">
              <w:rPr>
                <w:rFonts w:ascii="Times New Roman" w:hAnsi="Times New Roman" w:cs="Times New Roman"/>
                <w:lang w:val="en-CA"/>
              </w:rPr>
              <w:t>19%</w:t>
            </w:r>
          </w:p>
        </w:tc>
      </w:tr>
      <w:tr w:rsidR="00BA39F6" w:rsidRPr="002860E5" w14:paraId="37BCC459" w14:textId="77777777" w:rsidTr="005E19CB">
        <w:tc>
          <w:tcPr>
            <w:tcW w:w="2337" w:type="dxa"/>
          </w:tcPr>
          <w:p w14:paraId="42C9F343" w14:textId="4B3CC0AA" w:rsidR="00BA39F6" w:rsidRPr="002860E5" w:rsidRDefault="00BA39F6" w:rsidP="00BA39F6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 w:rsidRPr="002860E5">
              <w:rPr>
                <w:rFonts w:ascii="Times New Roman" w:hAnsi="Times New Roman" w:cs="Times New Roman"/>
              </w:rPr>
              <w:t>Income</w:t>
            </w:r>
          </w:p>
        </w:tc>
        <w:tc>
          <w:tcPr>
            <w:tcW w:w="2337" w:type="dxa"/>
          </w:tcPr>
          <w:p w14:paraId="58863751" w14:textId="04EACF98" w:rsidR="00BA39F6" w:rsidRPr="002860E5" w:rsidRDefault="008A7C0E" w:rsidP="00BA39F6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  <w:lang w:val="en-CA"/>
              </w:rPr>
              <w:t>1.8</w:t>
            </w:r>
          </w:p>
        </w:tc>
        <w:tc>
          <w:tcPr>
            <w:tcW w:w="2338" w:type="dxa"/>
          </w:tcPr>
          <w:p w14:paraId="3005006F" w14:textId="2891E36C" w:rsidR="00BA39F6" w:rsidRPr="002860E5" w:rsidRDefault="00BA39F6" w:rsidP="00BA39F6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 w:rsidRPr="002860E5">
              <w:rPr>
                <w:rFonts w:ascii="Times New Roman" w:hAnsi="Times New Roman" w:cs="Times New Roman"/>
              </w:rPr>
              <w:t>Income</w:t>
            </w:r>
          </w:p>
        </w:tc>
        <w:tc>
          <w:tcPr>
            <w:tcW w:w="2338" w:type="dxa"/>
          </w:tcPr>
          <w:p w14:paraId="4AEE6C47" w14:textId="5DA33BBD" w:rsidR="00BA39F6" w:rsidRPr="002860E5" w:rsidRDefault="007D2025" w:rsidP="00BA39F6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  <w:lang w:val="en-CA"/>
              </w:rPr>
              <w:t>-</w:t>
            </w:r>
            <w:r w:rsidR="00BA39F6" w:rsidRPr="002860E5">
              <w:rPr>
                <w:rFonts w:ascii="Times New Roman" w:hAnsi="Times New Roman" w:cs="Times New Roman"/>
                <w:lang w:val="en-CA"/>
              </w:rPr>
              <w:t>9%</w:t>
            </w:r>
          </w:p>
        </w:tc>
      </w:tr>
      <w:tr w:rsidR="00BA39F6" w:rsidRPr="002860E5" w14:paraId="4EA2279A" w14:textId="77777777" w:rsidTr="005E19CB">
        <w:tc>
          <w:tcPr>
            <w:tcW w:w="2337" w:type="dxa"/>
          </w:tcPr>
          <w:p w14:paraId="5FC55B07" w14:textId="546A4B0A" w:rsidR="00BA39F6" w:rsidRPr="002860E5" w:rsidRDefault="00BA39F6" w:rsidP="00BA39F6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 w:rsidRPr="002860E5">
              <w:rPr>
                <w:rFonts w:ascii="Times New Roman" w:hAnsi="Times New Roman" w:cs="Times New Roman"/>
              </w:rPr>
              <w:t>Non-dominant language exposure</w:t>
            </w:r>
          </w:p>
        </w:tc>
        <w:tc>
          <w:tcPr>
            <w:tcW w:w="2337" w:type="dxa"/>
          </w:tcPr>
          <w:p w14:paraId="31420D6F" w14:textId="2C78C451" w:rsidR="00BA39F6" w:rsidRPr="002860E5" w:rsidRDefault="00242795" w:rsidP="00BA39F6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  <w:lang w:val="en-CA"/>
              </w:rPr>
              <w:t>1.021</w:t>
            </w:r>
          </w:p>
        </w:tc>
        <w:tc>
          <w:tcPr>
            <w:tcW w:w="2338" w:type="dxa"/>
          </w:tcPr>
          <w:p w14:paraId="4E0A38C2" w14:textId="2D14AD1B" w:rsidR="00BA39F6" w:rsidRPr="002860E5" w:rsidRDefault="00BA39F6" w:rsidP="00BA39F6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 w:rsidRPr="002860E5">
              <w:rPr>
                <w:rFonts w:ascii="Times New Roman" w:hAnsi="Times New Roman" w:cs="Times New Roman"/>
              </w:rPr>
              <w:t>Non-dominant language exposure</w:t>
            </w:r>
          </w:p>
        </w:tc>
        <w:tc>
          <w:tcPr>
            <w:tcW w:w="2338" w:type="dxa"/>
          </w:tcPr>
          <w:p w14:paraId="793057B8" w14:textId="24DEF1F2" w:rsidR="00BA39F6" w:rsidRPr="002860E5" w:rsidRDefault="007D2025" w:rsidP="00BA39F6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  <w:lang w:val="en-CA"/>
              </w:rPr>
              <w:t>-</w:t>
            </w:r>
            <w:r w:rsidR="00BA39F6" w:rsidRPr="002860E5">
              <w:rPr>
                <w:rFonts w:ascii="Times New Roman" w:hAnsi="Times New Roman" w:cs="Times New Roman"/>
                <w:lang w:val="en-CA"/>
              </w:rPr>
              <w:t>0.6%</w:t>
            </w:r>
          </w:p>
        </w:tc>
      </w:tr>
      <w:tr w:rsidR="00BA39F6" w:rsidRPr="002860E5" w14:paraId="4FBFC387" w14:textId="77777777" w:rsidTr="005E19CB">
        <w:tc>
          <w:tcPr>
            <w:tcW w:w="2337" w:type="dxa"/>
          </w:tcPr>
          <w:p w14:paraId="3DD61F3B" w14:textId="462B6DF5" w:rsidR="00BA39F6" w:rsidRPr="002860E5" w:rsidRDefault="00BA39F6" w:rsidP="00BA39F6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 w:rsidRPr="002860E5">
              <w:rPr>
                <w:rFonts w:ascii="Times New Roman" w:hAnsi="Times New Roman" w:cs="Times New Roman"/>
              </w:rPr>
              <w:lastRenderedPageBreak/>
              <w:t>Trial type (prepotent/inhibitory)</w:t>
            </w:r>
          </w:p>
        </w:tc>
        <w:tc>
          <w:tcPr>
            <w:tcW w:w="2337" w:type="dxa"/>
          </w:tcPr>
          <w:p w14:paraId="5A78DD91" w14:textId="68A59074" w:rsidR="00BA39F6" w:rsidRPr="002860E5" w:rsidRDefault="00BD30CF" w:rsidP="00BA39F6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  <w:lang w:val="en-CA"/>
              </w:rPr>
              <w:t>1.5</w:t>
            </w:r>
          </w:p>
        </w:tc>
        <w:tc>
          <w:tcPr>
            <w:tcW w:w="2338" w:type="dxa"/>
          </w:tcPr>
          <w:p w14:paraId="69D8FA49" w14:textId="2C58CDB4" w:rsidR="00BA39F6" w:rsidRPr="002860E5" w:rsidRDefault="00BA39F6" w:rsidP="00BA39F6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 w:rsidRPr="002860E5">
              <w:rPr>
                <w:rFonts w:ascii="Times New Roman" w:hAnsi="Times New Roman" w:cs="Times New Roman"/>
              </w:rPr>
              <w:t>Trial type (prepotent/inhibitory)</w:t>
            </w:r>
          </w:p>
        </w:tc>
        <w:tc>
          <w:tcPr>
            <w:tcW w:w="2338" w:type="dxa"/>
          </w:tcPr>
          <w:p w14:paraId="4406B0F7" w14:textId="1E9E12ED" w:rsidR="00BA39F6" w:rsidRPr="002860E5" w:rsidRDefault="007D2025" w:rsidP="00BA39F6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  <w:lang w:val="en-CA"/>
              </w:rPr>
              <w:t>-</w:t>
            </w:r>
            <w:r w:rsidR="007F7E75" w:rsidRPr="002860E5">
              <w:rPr>
                <w:rFonts w:ascii="Times New Roman" w:hAnsi="Times New Roman" w:cs="Times New Roman"/>
                <w:lang w:val="en-CA"/>
              </w:rPr>
              <w:t>10%</w:t>
            </w:r>
          </w:p>
        </w:tc>
      </w:tr>
      <w:tr w:rsidR="00BA39F6" w:rsidRPr="002860E5" w14:paraId="617B9389" w14:textId="77777777" w:rsidTr="005E19CB">
        <w:tc>
          <w:tcPr>
            <w:tcW w:w="2337" w:type="dxa"/>
            <w:tcBorders>
              <w:bottom w:val="single" w:sz="4" w:space="0" w:color="auto"/>
            </w:tcBorders>
          </w:tcPr>
          <w:p w14:paraId="10456A63" w14:textId="51AD1A50" w:rsidR="00BA39F6" w:rsidRPr="002860E5" w:rsidRDefault="00BA39F6" w:rsidP="00BA39F6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 w:rsidRPr="002860E5">
              <w:rPr>
                <w:rFonts w:ascii="Times New Roman" w:hAnsi="Times New Roman" w:cs="Times New Roman"/>
              </w:rPr>
              <w:t>Trial number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520F19C0" w14:textId="5C894683" w:rsidR="00BA39F6" w:rsidRPr="002860E5" w:rsidRDefault="000A2CA4" w:rsidP="00BA39F6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  <w:lang w:val="en-CA"/>
              </w:rPr>
              <w:t>1.025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285BC706" w14:textId="362502C7" w:rsidR="00BA39F6" w:rsidRPr="002860E5" w:rsidRDefault="00BA39F6" w:rsidP="00BA39F6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 w:rsidRPr="002860E5">
              <w:rPr>
                <w:rFonts w:ascii="Times New Roman" w:hAnsi="Times New Roman" w:cs="Times New Roman"/>
              </w:rPr>
              <w:t>Trial number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63EEF6B6" w14:textId="27BA6E3C" w:rsidR="00BA39F6" w:rsidRPr="002860E5" w:rsidRDefault="007D2025" w:rsidP="00BA39F6">
            <w:pPr>
              <w:ind w:firstLine="0"/>
              <w:rPr>
                <w:rFonts w:ascii="Times New Roman" w:hAnsi="Times New Roman" w:cs="Times New Roman"/>
                <w:lang w:val="en-CA"/>
              </w:rPr>
            </w:pPr>
            <w:r>
              <w:rPr>
                <w:rFonts w:ascii="Times New Roman" w:hAnsi="Times New Roman" w:cs="Times New Roman"/>
                <w:lang w:val="en-CA"/>
              </w:rPr>
              <w:t>-0</w:t>
            </w:r>
            <w:r w:rsidR="00F832D5" w:rsidRPr="002860E5">
              <w:rPr>
                <w:rFonts w:ascii="Times New Roman" w:hAnsi="Times New Roman" w:cs="Times New Roman"/>
                <w:lang w:val="en-CA"/>
              </w:rPr>
              <w:t>.5%</w:t>
            </w:r>
          </w:p>
        </w:tc>
      </w:tr>
    </w:tbl>
    <w:p w14:paraId="737D46BB" w14:textId="77777777" w:rsidR="00252AA0" w:rsidRPr="002860E5" w:rsidRDefault="00252AA0" w:rsidP="00252AA0">
      <w:pPr>
        <w:ind w:firstLine="0"/>
        <w:rPr>
          <w:rFonts w:ascii="Times New Roman" w:hAnsi="Times New Roman" w:cs="Times New Roman"/>
        </w:rPr>
      </w:pPr>
      <w:r w:rsidRPr="002860E5">
        <w:rPr>
          <w:rFonts w:ascii="Times New Roman" w:hAnsi="Times New Roman" w:cs="Times New Roman"/>
          <w:i/>
          <w:iCs/>
          <w:color w:val="000000" w:themeColor="text1"/>
        </w:rPr>
        <w:t xml:space="preserve">Note. </w:t>
      </w:r>
      <w:r w:rsidRPr="002860E5">
        <w:rPr>
          <w:rFonts w:ascii="Times New Roman" w:hAnsi="Times New Roman" w:cs="Times New Roman"/>
        </w:rPr>
        <w:t xml:space="preserve">Levels being compared for categorical variables are in parentheses. </w:t>
      </w:r>
    </w:p>
    <w:p w14:paraId="0CF4D27E" w14:textId="77777777" w:rsidR="00F0402F" w:rsidRPr="00F0402F" w:rsidRDefault="00162182" w:rsidP="00D409B8">
      <w:pPr>
        <w:ind w:firstLine="0"/>
        <w:rPr>
          <w:rFonts w:ascii="Times New Roman" w:hAnsi="Times New Roman" w:cs="Times New Roman"/>
        </w:rPr>
      </w:pPr>
      <w:r w:rsidRPr="00F0402F">
        <w:rPr>
          <w:rFonts w:ascii="Times New Roman" w:hAnsi="Times New Roman" w:cs="Times New Roman"/>
          <w:vertAlign w:val="superscript"/>
        </w:rPr>
        <w:t>1</w:t>
      </w:r>
      <w:r w:rsidR="00F0402F" w:rsidRPr="00F0402F">
        <w:t xml:space="preserve"> </w:t>
      </w:r>
      <w:r w:rsidR="00F0402F" w:rsidRPr="00F0402F">
        <w:rPr>
          <w:rFonts w:ascii="Times New Roman" w:hAnsi="Times New Roman" w:cs="Times New Roman"/>
        </w:rPr>
        <w:t>For continuous variables, values correspond to the approximate odds ratio associated with a 1-unit increase in the predictor; for categorical variables, values correspond to the odds ratio comparing the two levels indicated.</w:t>
      </w:r>
    </w:p>
    <w:p w14:paraId="5A95C0D3" w14:textId="6AA5337A" w:rsidR="00D409B8" w:rsidRPr="002860E5" w:rsidRDefault="00D409B8" w:rsidP="00252AA0">
      <w:pPr>
        <w:ind w:firstLine="0"/>
        <w:rPr>
          <w:rFonts w:ascii="Times New Roman" w:hAnsi="Times New Roman" w:cs="Times New Roman"/>
        </w:rPr>
      </w:pPr>
      <w:r w:rsidRPr="002860E5">
        <w:rPr>
          <w:rFonts w:ascii="Times New Roman" w:hAnsi="Times New Roman" w:cs="Times New Roman"/>
          <w:vertAlign w:val="superscript"/>
        </w:rPr>
        <w:t>2</w:t>
      </w:r>
      <w:r w:rsidR="00B307EC" w:rsidRPr="00B307EC">
        <w:t xml:space="preserve"> </w:t>
      </w:r>
      <w:r w:rsidR="00B307EC" w:rsidRPr="00B307EC">
        <w:rPr>
          <w:rFonts w:ascii="Times New Roman" w:hAnsi="Times New Roman" w:cs="Times New Roman"/>
        </w:rPr>
        <w:t>For continuous variables, values correspond to the approximate percent change in raw RT associated with a 1-unit increase in the predictor; for categorical variables, values correspond to the percent difference in raw RT between the two levels indicated (negative values indicate faster responses).</w:t>
      </w:r>
    </w:p>
    <w:p w14:paraId="07C81891" w14:textId="1BED23A6" w:rsidR="000E0F4A" w:rsidRPr="002860E5" w:rsidRDefault="000E0F4A" w:rsidP="00252AA0">
      <w:pPr>
        <w:ind w:firstLine="0"/>
        <w:rPr>
          <w:rFonts w:ascii="Times New Roman" w:hAnsi="Times New Roman" w:cs="Times New Roman"/>
          <w:i/>
          <w:iCs/>
        </w:rPr>
      </w:pPr>
    </w:p>
    <w:sectPr w:rsidR="000E0F4A" w:rsidRPr="002860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10"/>
    <w:rsid w:val="000A2CA4"/>
    <w:rsid w:val="000E0F4A"/>
    <w:rsid w:val="00150B52"/>
    <w:rsid w:val="001570BC"/>
    <w:rsid w:val="00162182"/>
    <w:rsid w:val="001A6655"/>
    <w:rsid w:val="00242795"/>
    <w:rsid w:val="00252AA0"/>
    <w:rsid w:val="0026460A"/>
    <w:rsid w:val="002660DA"/>
    <w:rsid w:val="002860E5"/>
    <w:rsid w:val="00290AA1"/>
    <w:rsid w:val="002D7614"/>
    <w:rsid w:val="003042C6"/>
    <w:rsid w:val="003C5683"/>
    <w:rsid w:val="003C6329"/>
    <w:rsid w:val="003D513B"/>
    <w:rsid w:val="00454E3A"/>
    <w:rsid w:val="00465036"/>
    <w:rsid w:val="00472426"/>
    <w:rsid w:val="004A5FAE"/>
    <w:rsid w:val="004B22B6"/>
    <w:rsid w:val="004D03F3"/>
    <w:rsid w:val="005003BB"/>
    <w:rsid w:val="005308F2"/>
    <w:rsid w:val="0054564B"/>
    <w:rsid w:val="005A2FA3"/>
    <w:rsid w:val="005D0C88"/>
    <w:rsid w:val="005E19CB"/>
    <w:rsid w:val="005F2D3A"/>
    <w:rsid w:val="005F7778"/>
    <w:rsid w:val="00650E95"/>
    <w:rsid w:val="00653A6A"/>
    <w:rsid w:val="00683CA6"/>
    <w:rsid w:val="00692F09"/>
    <w:rsid w:val="00693EEC"/>
    <w:rsid w:val="007169EF"/>
    <w:rsid w:val="007325EB"/>
    <w:rsid w:val="007D2025"/>
    <w:rsid w:val="007D2F57"/>
    <w:rsid w:val="007F7E75"/>
    <w:rsid w:val="00815B3D"/>
    <w:rsid w:val="008A7C0E"/>
    <w:rsid w:val="00937A5A"/>
    <w:rsid w:val="0099334D"/>
    <w:rsid w:val="00A27DFB"/>
    <w:rsid w:val="00AD0341"/>
    <w:rsid w:val="00B03246"/>
    <w:rsid w:val="00B16916"/>
    <w:rsid w:val="00B307EC"/>
    <w:rsid w:val="00B71223"/>
    <w:rsid w:val="00BA39F6"/>
    <w:rsid w:val="00BB3A72"/>
    <w:rsid w:val="00BC4C3B"/>
    <w:rsid w:val="00BD30CF"/>
    <w:rsid w:val="00C1367E"/>
    <w:rsid w:val="00C2121F"/>
    <w:rsid w:val="00C57A79"/>
    <w:rsid w:val="00C77310"/>
    <w:rsid w:val="00C96966"/>
    <w:rsid w:val="00CB6A0F"/>
    <w:rsid w:val="00CF09CD"/>
    <w:rsid w:val="00D01FFE"/>
    <w:rsid w:val="00D409B8"/>
    <w:rsid w:val="00DF3C5A"/>
    <w:rsid w:val="00E75C92"/>
    <w:rsid w:val="00EC4FC8"/>
    <w:rsid w:val="00ED584D"/>
    <w:rsid w:val="00EF38A3"/>
    <w:rsid w:val="00F00A08"/>
    <w:rsid w:val="00F0402F"/>
    <w:rsid w:val="00F1411B"/>
    <w:rsid w:val="00F143CF"/>
    <w:rsid w:val="00F32F5A"/>
    <w:rsid w:val="00F378BF"/>
    <w:rsid w:val="00F630BD"/>
    <w:rsid w:val="00F77C4F"/>
    <w:rsid w:val="00F803A0"/>
    <w:rsid w:val="00F832D5"/>
    <w:rsid w:val="00FF7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32748"/>
  <w15:chartTrackingRefBased/>
  <w15:docId w15:val="{8C81BD7E-2157-4665-8E7B-CE934BF5C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60" w:lineRule="auto"/>
      <w:ind w:firstLine="357"/>
    </w:pPr>
  </w:style>
  <w:style w:type="paragraph" w:styleId="Heading1">
    <w:name w:val="heading 1"/>
    <w:basedOn w:val="Normal"/>
    <w:next w:val="Normal"/>
    <w:link w:val="Heading1Char"/>
    <w:uiPriority w:val="9"/>
    <w:qFormat/>
    <w:rsid w:val="00C77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10"/>
    <w:pPr>
      <w:numPr>
        <w:ilvl w:val="1"/>
      </w:numPr>
      <w:spacing w:after="160"/>
      <w:ind w:firstLine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0F4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373</Words>
  <Characters>2193</Characters>
  <Application>Microsoft Office Word</Application>
  <DocSecurity>0</DocSecurity>
  <Lines>62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 Urian</dc:creator>
  <cp:keywords/>
  <dc:description/>
  <cp:lastModifiedBy>Radu Urian</cp:lastModifiedBy>
  <cp:revision>73</cp:revision>
  <dcterms:created xsi:type="dcterms:W3CDTF">2025-12-15T22:12:00Z</dcterms:created>
  <dcterms:modified xsi:type="dcterms:W3CDTF">2025-12-16T01:35:00Z</dcterms:modified>
</cp:coreProperties>
</file>