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b/>
          <w:bCs/>
          <w:color w:val="F5A623"/>
          <w:spacing w:val="60"/>
          <w:sz w:val="28"/>
          <w:szCs w:val="28"/>
        </w:rPr>
        <w:t xml:space="preserve">AFFINITY IT</w:t>
      </w:r>
    </w:p>
    <w:p>
      <w:pPr>
        <w:spacing w:after="200"/>
        <w:jc w:val="center"/>
      </w:pPr>
      <w:r>
        <w:rPr>
          <w:b/>
          <w:bCs/>
          <w:color w:val="1B2A4A"/>
          <w:sz w:val="88"/>
          <w:szCs w:val="88"/>
        </w:rPr>
        <w:t xml:space="preserve">TenantDeck</w:t>
      </w:r>
    </w:p>
    <w:p>
      <w:pPr>
        <w:spacing w:after="80"/>
        <w:jc w:val="center"/>
      </w:pPr>
      <w:r>
        <w:rPr>
          <w:color w:val="1B2A4A"/>
          <w:sz w:val="32"/>
          <w:szCs w:val="32"/>
        </w:rPr>
        <w:t xml:space="preserve">Multi-Tenant Microsoft 365 Audit Console for MSPs</w:t>
      </w:r>
    </w:p>
    <w:p>
      <w:pPr>
        <w:spacing w:after="600"/>
        <w:jc w:val="center"/>
      </w:pPr>
      <w:r>
        <w:rPr>
          <w:i/>
          <w:iCs/>
          <w:color w:val="555555"/>
          <w:sz w:val="24"/>
          <w:szCs w:val="24"/>
        </w:rPr>
        <w:t xml:space="preserve">GDAP-Powered Auditing, Baseline Compliance and Licensing Intelligence Across Every Managed Tenant — With a Guarded Write Pattern Proven on Exchange Connectors</w:t>
      </w:r>
    </w:p>
    <w:p>
      <w:pPr>
        <w:pBdr>
          <w:top w:val="single" w:color="F5A623" w:sz="12" w:space="8"/>
        </w:pBdr>
        <w:spacing w:after="100" w:before="200"/>
        <w:jc w:val="center"/>
      </w:pPr>
      <w:r>
        <w:rPr>
          <w:b/>
          <w:bCs/>
          <w:color w:val="1B2A4A"/>
          <w:sz w:val="24"/>
          <w:szCs w:val="24"/>
        </w:rPr>
        <w:t xml:space="preserve">Project Plan  |  Version 1.0  |  June 2026</w:t>
      </w:r>
    </w:p>
    <w:p>
      <w:pPr>
        <w:jc w:val="center"/>
      </w:pPr>
      <w:r>
        <w:rPr>
          <w:color w:val="555555"/>
          <w:sz w:val="22"/>
          <w:szCs w:val="22"/>
        </w:rPr>
        <w:t xml:space="preserve">Internal Tool — Affinity IT Engineering</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60"/>
      </w:pPr>
      <w:r>
        <w:t xml:space="preserve">TenantDeck is a cross-platform desktop application (Windows and Debian Linux) that gives Affinity IT engineers a single pane of glass across every customer tenant accessible through the company's GDAP (Granular Delegated Admin Privileges) relationships. It is first and foremost an auditing tool: it consolidates the data engineers currently gather tenant-by-tenant through the Microsoft 365 admin centre and Exchange admin centre — users, groups, Teams, domains, licensing and Exchange Online configuration — into one fast, local-first console, and continuously evaluates every tenant against an Affinity IT security baseline.</w:t>
      </w:r>
    </w:p>
    <w:p>
      <w:pPr>
        <w:spacing w:after="160"/>
      </w:pPr>
      <w:r>
        <w:t xml:space="preserve">The headline capability is </w:t>
      </w:r>
      <w:r>
        <w:rPr>
          <w:b/>
          <w:bCs/>
        </w:rPr>
        <w:t xml:space="preserve">Bulk Exchange Connector Deployment</w:t>
      </w:r>
      <w:r>
        <w:t xml:space="preserve">: template-driven creation and lifecycle management of Exchange Online mail flow connectors (inbound and outbound), Enhanced Filtering for Connectors and paired transport rules across many tenants at once. Templates expand into an editable staging grid — one row per tenant per connector, every relevant field editable individually or in bulk — then pass through validation, dry-run diff and PowerShell preview before deployment, with automatic pre-change snapshots and one-click rollback. Standardising an email security gateway across 60 tenants becomes a reviewed, audited, reversible batch operation instead of 60 manual Exchange admin centre sessions.</w:t>
      </w:r>
    </w:p>
    <w:p>
      <w:pPr>
        <w:spacing w:after="160"/>
      </w:pPr>
      <w:r>
        <w:t xml:space="preserve">Supporting everything is the </w:t>
      </w:r>
      <w:r>
        <w:rPr>
          <w:b/>
          <w:bCs/>
        </w:rPr>
        <w:t xml:space="preserve">Tenant Registry</w:t>
      </w:r>
      <w:r>
        <w:t xml:space="preserve">: TenantDeck enumerates every customer tenant under the partner’s existing GDAP relationships (it never creates or modifies GDAP relationships) and onboards them in a single bulk operation through an editable grid.</w:t>
      </w:r>
    </w:p>
    <w:p>
      <w:pPr>
        <w:spacing w:after="160"/>
      </w:pPr>
      <w:r>
        <w:t xml:space="preserve">The application is built with Electron, React 18, TypeScript and Vite, authenticates via MSAL using the GDAP delegated model, caches data locally in an encrypted SQLite database, drives Exchange Online through a bundled PowerShell 7 engine using GDAP delegated sessions, and is packaged automatically by GitHub Actions into a Windows NSIS installer (.exe) and a Debian package (.deb) published to GitHub Releases.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Attribute</w:t>
            </w:r>
          </w:p>
        </w:tc>
        <w:tc>
          <w:tcPr>
            <w:tcW w:type="dxa" w:w="6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name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TenantDeck — Multi-Tenant M365 Management Console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Type</w:t>
            </w:r>
          </w:p>
        </w:tc>
        <w:tc>
          <w:tcPr>
            <w:tcW w:type="dxa" w:w="6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Internal MSP auditing tool (desktop application)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Windows 10/11 (.exe, NSIS) and Debian/Ubuntu (.deb)</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Stack</w:t>
            </w:r>
          </w:p>
        </w:tc>
        <w:tc>
          <w:tcPr>
            <w:tcW w:type="dxa" w:w="6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Electron + React 18 + TypeScript + Vite + SQLite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 model</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GDAP delegated access via pre-consented Microsoft first-party client — no app registrations, Partner Center-style sign-in</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APIs</w:t>
            </w:r>
          </w:p>
        </w:tc>
        <w:tc>
          <w:tcPr>
            <w:tcW w:type="dxa" w:w="6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Microsoft Graph, Partner Center API, Exchange Online (Graph reports + EXO endpoints)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CI/CD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 matrix build → GitHub Releases, electron-updater</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Estimated effort</w:t>
            </w:r>
          </w:p>
        </w:tc>
        <w:tc>
          <w:tcPr>
            <w:tcW w:type="dxa" w:w="6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8 phases, ~10–12 working weeks part-time</w:t>
            </w:r>
          </w:p>
        </w:tc>
      </w:tr>
    </w:tbl>
    <w:p>
      <w:pPr>
        <w:pStyle w:val="Heading1"/>
        <w:pageBreakBefore/>
      </w:pPr>
      <w:r>
        <w:t xml:space="preserve">2. Problem Statement</w:t>
      </w:r>
    </w:p>
    <w:p>
      <w:pPr>
        <w:spacing w:after="160"/>
      </w:pPr>
      <w:r>
        <w:t xml:space="preserve">Affinity IT manages a large estate of Microsoft 365 tenants through GDAP relationships. Day-to-day visibility tasks are slow because the Microsoft 365 admin centre is strictly single-tenant: an engineer must switch into each customer, navigate to the relevant blade, and manually extract what they need. Common pain points:</w:t>
      </w:r>
    </w:p>
    <w:p>
      <w:pPr>
        <w:pStyle w:val="ListParagraph"/>
        <w:numPr>
          <w:ilvl w:val="0"/>
          <w:numId w:val="2"/>
        </w:numPr>
        <w:spacing w:after="80"/>
      </w:pPr>
      <w:r>
        <w:rPr>
          <w:b/>
          <w:bCs/>
        </w:rPr>
        <w:t xml:space="preserve">Licensing blindness. </w:t>
      </w:r>
      <w:r>
        <w:t xml:space="preserve">There is no cross-tenant view of license assignment. Unassigned, wasted or duplicated licenses across dozens of tenants go unnoticed, costing clients money and Affinity IT credibility at review time.</w:t>
      </w:r>
    </w:p>
    <w:p>
      <w:pPr>
        <w:pStyle w:val="ListParagraph"/>
        <w:numPr>
          <w:ilvl w:val="0"/>
          <w:numId w:val="2"/>
        </w:numPr>
        <w:spacing w:after="80"/>
      </w:pPr>
      <w:r>
        <w:rPr>
          <w:b/>
          <w:bCs/>
        </w:rPr>
        <w:t xml:space="preserve">Slow audits. </w:t>
      </w:r>
      <w:r>
        <w:t xml:space="preserve">Questions such as “which tenants still have users without MFA?”, “who has external forwarding rules?” or “which domains are missing DMARC?” require logging into every tenant individually.</w:t>
      </w:r>
    </w:p>
    <w:p>
      <w:pPr>
        <w:pStyle w:val="ListParagraph"/>
        <w:numPr>
          <w:ilvl w:val="0"/>
          <w:numId w:val="2"/>
        </w:numPr>
        <w:spacing w:after="80"/>
      </w:pPr>
      <w:r>
        <w:rPr>
          <w:b/>
          <w:bCs/>
        </w:rPr>
        <w:t xml:space="preserve">No baseline. </w:t>
      </w:r>
      <w:r>
        <w:t xml:space="preserve">There is no systematic way to assert “every tenant we manage meets the Affinity IT security baseline” — checks live in engineers’ heads and are applied inconsistently, and compromise indicators (suspicious inbox rules, risky OAuth consents) are only found when something has already gone wrong.</w:t>
      </w:r>
    </w:p>
    <w:p>
      <w:pPr>
        <w:pStyle w:val="ListParagraph"/>
        <w:numPr>
          <w:ilvl w:val="0"/>
          <w:numId w:val="2"/>
        </w:numPr>
        <w:spacing w:after="80"/>
      </w:pPr>
      <w:r>
        <w:rPr>
          <w:b/>
          <w:bCs/>
        </w:rPr>
        <w:t xml:space="preserve">Connector sprawl. </w:t>
      </w:r>
      <w:r>
        <w:t xml:space="preserve">SMTP relay connectors for printers, scanners and LOB apps are hand-built per tenant in the Exchange admin centre, drift silently, and have no estate-wide inventory. A client static IP change means finding and editing the connector by hand.</w:t>
      </w:r>
    </w:p>
    <w:p>
      <w:pPr>
        <w:pStyle w:val="ListParagraph"/>
        <w:numPr>
          <w:ilvl w:val="0"/>
          <w:numId w:val="2"/>
        </w:numPr>
        <w:spacing w:after="80"/>
      </w:pPr>
      <w:r>
        <w:rPr>
          <w:b/>
          <w:bCs/>
        </w:rPr>
        <w:t xml:space="preserve">No bulk onboarding. </w:t>
      </w:r>
      <w:r>
        <w:t xml:space="preserve">Tooling that does support multiple tenants typically requires consenting and configuring each tenant connection one at a time.</w:t>
      </w:r>
    </w:p>
    <w:p>
      <w:pPr>
        <w:pStyle w:val="ListParagraph"/>
        <w:numPr>
          <w:ilvl w:val="0"/>
          <w:numId w:val="2"/>
        </w:numPr>
        <w:spacing w:after="80"/>
      </w:pPr>
      <w:r>
        <w:rPr>
          <w:b/>
          <w:bCs/>
        </w:rPr>
        <w:t xml:space="preserve">Reporting overhead. </w:t>
      </w:r>
      <w:r>
        <w:t xml:space="preserve">Client-facing health and licensing reports are assembled by hand from screenshots and CSV exports.</w:t>
      </w:r>
    </w:p>
    <w:p>
      <w:pPr>
        <w:pStyle w:val="ListParagraph"/>
        <w:numPr>
          <w:ilvl w:val="0"/>
          <w:numId w:val="2"/>
        </w:numPr>
        <w:spacing w:after="80"/>
      </w:pPr>
      <w:r>
        <w:rPr>
          <w:b/>
          <w:bCs/>
        </w:rPr>
        <w:t xml:space="preserve">Hosted alternatives carry overhead. </w:t>
      </w:r>
      <w:r>
        <w:t xml:space="preserve">Platforms such as CIPP solve some of this but require hosted Azure infrastructure, ongoing maintenance and per-user costs. A local-first desktop tool removes that operational burden entirely.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24"/>
              <w:bottom w:val="single" w:color="F5A623" w:sz="1"/>
              <w:right w:val="single" w:color="F5A623" w:sz="1"/>
            </w:tcBorders>
            <w:shd w:fill="FDF3E0" w:val="clear"/>
            <w:tcMar>
              <w:top w:type="dxa" w:w="140"/>
              <w:left w:type="dxa" w:w="200"/>
              <w:bottom w:type="dxa" w:w="140"/>
              <w:right w:type="dxa" w:w="200"/>
            </w:tcMar>
          </w:tcPr>
          <w:p>
            <w:pPr>
              <w:spacing w:after="60"/>
            </w:pPr>
            <w:r>
              <w:rPr>
                <w:b/>
                <w:bCs/>
                <w:color w:val="1B2A4A"/>
              </w:rPr>
              <w:t xml:space="preserve">Design principle</w:t>
            </w:r>
          </w:p>
          <w:p>
            <w:r>
              <w:t xml:space="preserve">TenantDeck is an auditing tool: read-only by design, with one deliberate exception — SMTP relay connector deployment — included as the worked example of a guarded, reversible write pattern that future write modules can reuse. All other write operations are deferred to a clearly-scoped v2.</w:t>
            </w:r>
          </w:p>
        </w:tc>
      </w:tr>
    </w:tbl>
    <w:p>
      <w:pPr>
        <w:pStyle w:val="Heading1"/>
        <w:pageBreakBefore/>
      </w:pPr>
      <w:r>
        <w:t xml:space="preserve">3. Product Overview</w:t>
      </w:r>
    </w:p>
    <w:p>
      <w:pPr>
        <w:pStyle w:val="Heading2"/>
      </w:pPr>
      <w:r>
        <w:t xml:space="preserve">3.1 What TenantDeck Does</w:t>
      </w:r>
    </w:p>
    <w:p>
      <w:pPr>
        <w:spacing w:after="160"/>
      </w:pPr>
      <w:r>
        <w:t xml:space="preserve">TenantDeck connects once to the partner tenant, discovers every GDAP customer relationship, and builds a connector per tenant. From then on it synchronises directory, licensing and Exchange data into a local encrypted cache on a configurable schedule, and presents it through eight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126"/>
      </w:tblGrid>
      <w:tr>
        <w:trPr>
          <w:tblHeader/>
        </w:trP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Module</w:t>
            </w:r>
          </w:p>
        </w:tc>
        <w:tc>
          <w:tcPr>
            <w:tcW w:type="dxa" w:w="61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Purpose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Tenant Registry</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Bulk GDAP discovery and onboarding of every customer tenant via an editable grid; per-tenant health, tags and sync status.</w:t>
            </w:r>
          </w:p>
        </w:tc>
      </w:tr>
      <w:tr>
        <w:tc>
          <w:tcPr>
            <w:tcW w:type="dxa" w:w="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2</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Exchange Connector Deployment</w:t>
            </w:r>
          </w:p>
        </w:tc>
        <w:tc>
          <w:tcPr>
            <w:tcW w:type="dxa" w:w="61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Template-driven bulk creation and management of Exchange Online inbound/outbound mail flow connectors, Enhanced Filtering and paired transport rules across selected tenants — the core feature.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Identity &amp; Users</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Cross-tenant user inventory: account status, admin roles, MFA/auth methods, last sign-in, stale accounts.</w:t>
            </w:r>
          </w:p>
        </w:tc>
      </w:tr>
      <w:tr>
        <w:tc>
          <w:tcPr>
            <w:tcW w:type="dxa" w:w="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4</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Licensing Intelligence</w:t>
            </w:r>
          </w:p>
        </w:tc>
        <w:tc>
          <w:tcPr>
            <w:tcW w:type="dxa" w:w="61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SKU-to-friendly-name mapping, assigned vs purchased counts, unassigned license waste, cross-tenant license matrix.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Groups &amp; Teams</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groups, M365 groups and Teams across tenants; ownerless groups; public/private posture.</w:t>
            </w:r>
          </w:p>
        </w:tc>
      </w:tr>
      <w:tr>
        <w:tc>
          <w:tcPr>
            <w:tcW w:type="dxa" w:w="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6</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Domains &amp; Mail Health</w:t>
            </w:r>
          </w:p>
        </w:tc>
        <w:tc>
          <w:tcPr>
            <w:tcW w:type="dxa" w:w="61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Verified domains per tenant with live SPF, DKIM and DMARC DNS validation and a traffic-light health score.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Exchange Online Auditing</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Mailbox inventory (user/shared/resource), sizes and quotas, forwarding rule audit, mailbox permissions, transport rules.</w:t>
            </w:r>
          </w:p>
        </w:tc>
      </w:tr>
      <w:tr>
        <w:tc>
          <w:tcPr>
            <w:tcW w:type="dxa" w:w="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8</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Reporting &amp; Export</w:t>
            </w:r>
          </w:p>
        </w:tc>
        <w:tc>
          <w:tcPr>
            <w:tcW w:type="dxa" w:w="61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Branded per-client PDF health reports plus CSV/XLSX exports from any grid in the app.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 Search</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Type-ahead search for any user, group, mailbox or domain across all connected tenants at once.</w:t>
            </w:r>
          </w:p>
        </w:tc>
      </w:tr>
    </w:tbl>
    <w:p>
      <w:pPr>
        <w:spacing w:after="120"/>
      </w:pPr>
    </w:p>
    <w:p>
      <w:pPr>
        <w:pStyle w:val="Heading2"/>
      </w:pPr>
      <w:r>
        <w:t xml:space="preserve">3.2 Differentiation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Versus</w:t>
            </w:r>
          </w:p>
        </w:tc>
        <w:tc>
          <w:tcPr>
            <w:tcW w:type="dxa" w:w="6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TenantDeck advantage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M365 admin centre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Cross-tenant aggregation, bulk operations, offline cache, exportable everything.</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CIPP (hosted)</w:t>
            </w:r>
          </w:p>
        </w:tc>
        <w:tc>
          <w:tcPr>
            <w:tcW w:type="dxa" w:w="6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No Azure hosting, no infrastructure to maintain, local-first data, zero recurring 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PowerShell scripts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Persistent UI, scheduled syncs, non-scripter friendly, consistent branded reporting.</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Lighthouse (Microsoft)</w:t>
            </w:r>
          </w:p>
        </w:tc>
        <w:tc>
          <w:tcPr>
            <w:tcW w:type="dxa" w:w="6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Not licence-gated, deeper Exchange auditing, fully customisable reporting in Affinity IT branding.</w:t>
            </w:r>
          </w:p>
        </w:tc>
      </w:tr>
    </w:tbl>
    <w:p>
      <w:pPr>
        <w:pStyle w:val="Heading1"/>
        <w:pageBreakBefore/>
      </w:pPr>
      <w:r>
        <w:t xml:space="preserve">4. Tenant Registry &amp; Bulk Onboarding</w:t>
      </w:r>
    </w:p>
    <w:p>
      <w:pPr>
        <w:spacing w:after="160"/>
      </w:pPr>
      <w:r>
        <w:t xml:space="preserve">The Tenant Registry is the foundation layer: it turns every GDAP relationship into a managed tenant record in one reviewed batch operation, and everything else in TenantDeck — including connector deployment — targets tenants selected from this registry.</w:t>
      </w:r>
    </w:p>
    <w:p>
      <w:pPr>
        <w:pStyle w:val="Heading2"/>
      </w:pPr>
      <w:r>
        <w:t xml:space="preserve">4.1 Workflow</w:t>
      </w:r>
    </w:p>
    <w:p>
      <w:pPr>
        <w:pStyle w:val="ListParagraph"/>
        <w:numPr>
          <w:ilvl w:val="0"/>
          <w:numId w:val="3"/>
        </w:numPr>
        <w:spacing w:after="80"/>
      </w:pPr>
      <w:r>
        <w:rPr>
          <w:b/>
          <w:bCs/>
        </w:rPr>
        <w:t xml:space="preserve">Discover. </w:t>
      </w:r>
      <w:r>
        <w:t xml:space="preserve">TenantDeck calls the Graph delegatedAdminRelationships endpoint to enumerate every active GDAP relationship, returning tenant ID, default domain, display name and the GDAP roles granted.</w:t>
      </w:r>
    </w:p>
    <w:p>
      <w:pPr>
        <w:pStyle w:val="ListParagraph"/>
        <w:numPr>
          <w:ilvl w:val="0"/>
          <w:numId w:val="3"/>
        </w:numPr>
        <w:spacing w:after="80"/>
      </w:pPr>
      <w:r>
        <w:rPr>
          <w:b/>
          <w:bCs/>
        </w:rPr>
        <w:t xml:space="preserve">Stage. </w:t>
      </w:r>
      <w:r>
        <w:t xml:space="preserve">Each discovered tenant becomes a draft row in a spreadsheet-style editable grid. Nothing is saved yet.</w:t>
      </w:r>
    </w:p>
    <w:p>
      <w:pPr>
        <w:pStyle w:val="ListParagraph"/>
        <w:numPr>
          <w:ilvl w:val="0"/>
          <w:numId w:val="3"/>
        </w:numPr>
        <w:spacing w:after="80"/>
      </w:pPr>
      <w:r>
        <w:rPr>
          <w:b/>
          <w:bCs/>
        </w:rPr>
        <w:t xml:space="preserve">Edit. </w:t>
      </w:r>
      <w:r>
        <w:t xml:space="preserve">Engineers adjust fields per-row, or select multiple rows and apply bulk edits (e.g. set 40 tenants to 6-hourly sync, disable modules for tenants without Exchange Online).</w:t>
      </w:r>
    </w:p>
    <w:p>
      <w:pPr>
        <w:pStyle w:val="ListParagraph"/>
        <w:numPr>
          <w:ilvl w:val="0"/>
          <w:numId w:val="3"/>
        </w:numPr>
        <w:spacing w:after="80"/>
      </w:pPr>
      <w:r>
        <w:rPr>
          <w:b/>
          <w:bCs/>
        </w:rPr>
        <w:t xml:space="preserve">Validate. </w:t>
      </w:r>
      <w:r>
        <w:t xml:space="preserve">A pre-flight check per row confirms the GDAP roles present are sufficient for the modules enabled, and flags shortfalls inline (amber warning chip with the missing role named).</w:t>
      </w:r>
    </w:p>
    <w:p>
      <w:pPr>
        <w:pStyle w:val="ListParagraph"/>
        <w:numPr>
          <w:ilvl w:val="0"/>
          <w:numId w:val="3"/>
        </w:numPr>
        <w:spacing w:after="80"/>
      </w:pPr>
      <w:r>
        <w:rPr>
          <w:b/>
          <w:bCs/>
        </w:rPr>
        <w:t xml:space="preserve">Commit. </w:t>
      </w:r>
      <w:r>
        <w:t xml:space="preserve">Selected rows are written to the local registry in one transaction. A summary screen reports created/skipped/failed with reasons.</w:t>
      </w:r>
    </w:p>
    <w:p>
      <w:pPr>
        <w:pStyle w:val="ListParagraph"/>
        <w:numPr>
          <w:ilvl w:val="0"/>
          <w:numId w:val="3"/>
        </w:numPr>
        <w:spacing w:after="80"/>
      </w:pPr>
      <w:r>
        <w:rPr>
          <w:b/>
          <w:bCs/>
        </w:rPr>
        <w:t xml:space="preserve">Re-run safely. </w:t>
      </w:r>
      <w:r>
        <w:t xml:space="preserve">Discovery is idempotent: re-running matches on tenant ID, shows new tenants as “New”, existing as “Linked”, and removed GDAP relationships as “Orphaned” for tidy-up.</w:t>
      </w:r>
    </w:p>
    <w:p>
      <w:pPr>
        <w:spacing w:after="120"/>
      </w:pPr>
    </w:p>
    <w:p>
      <w:pPr>
        <w:pStyle w:val="Heading2"/>
      </w:pPr>
      <w:r>
        <w:t xml:space="preserve">4.2 Tenant Record Fields (Editable Grid)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400"/>
        <w:gridCol w:w="4026"/>
      </w:tblGrid>
      <w:tr>
        <w:trPr>
          <w:tblHeader/>
        </w:trPr>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Field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Source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Editable</w:t>
            </w:r>
          </w:p>
        </w:tc>
        <w:tc>
          <w:tcPr>
            <w:tcW w:type="dxa" w:w="4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Notes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Tenant ID (GUID)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immutable.</w:t>
            </w:r>
          </w:p>
        </w:tc>
      </w:tr>
      <w:tr>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Display name</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Discovered</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Yes</w:t>
            </w:r>
          </w:p>
        </w:tc>
        <w:tc>
          <w:tcPr>
            <w:tcW w:type="dxa" w:w="4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Defaults to GDAP customer display name; engineer can rename to internal client name.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domain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Shown for identification.</w:t>
            </w:r>
          </w:p>
        </w:tc>
      </w:tr>
      <w:tr>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Internal client code</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Manual</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Yes</w:t>
            </w:r>
          </w:p>
        </w:tc>
        <w:tc>
          <w:tcPr>
            <w:tcW w:type="dxa" w:w="4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Affinity IT/Autotask client reference for cross-system matching.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Enabled modules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(bulk)</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 Identity / Licensing / Groups / Domains / Exchange per tenant.</w:t>
            </w:r>
          </w:p>
        </w:tc>
      </w:tr>
      <w:tr>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Sync schedule</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Default: daily</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Yes (bulk)</w:t>
            </w:r>
          </w:p>
        </w:tc>
        <w:tc>
          <w:tcPr>
            <w:tcW w:type="dxa" w:w="4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Manual, 6-hourly, daily or weekly background refresh.</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GDAP roles detected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Read-only list used by pre-flight validation.</w:t>
            </w:r>
          </w:p>
        </w:tc>
      </w:tr>
      <w:tr>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Status</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System</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No</w:t>
            </w:r>
          </w:p>
        </w:tc>
        <w:tc>
          <w:tcPr>
            <w:tcW w:type="dxa" w:w="40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New / Linked / Orphaned / Error, with last sync timestamp.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text per tenant.</w:t>
            </w:r>
          </w:p>
        </w:tc>
      </w:tr>
    </w:tbl>
    <w:p>
      <w:pPr>
        <w:spacing w:after="120"/>
      </w:pPr>
    </w:p>
    <w:p>
      <w:pPr>
        <w:pStyle w:val="Heading2"/>
      </w:pPr>
      <w:r>
        <w:t xml:space="preserve">4.3 Grid Capabilities</w:t>
      </w:r>
    </w:p>
    <w:p>
      <w:pPr>
        <w:pStyle w:val="ListParagraph"/>
        <w:numPr>
          <w:ilvl w:val="0"/>
          <w:numId w:val="2"/>
        </w:numPr>
        <w:spacing w:after="80"/>
      </w:pPr>
      <w:r>
        <w:t xml:space="preserve">Multi-select with shift/ctrl click; “select all filtered” action.</w:t>
      </w:r>
    </w:p>
    <w:p>
      <w:pPr>
        <w:pStyle w:val="ListParagraph"/>
        <w:numPr>
          <w:ilvl w:val="0"/>
          <w:numId w:val="2"/>
        </w:numPr>
        <w:spacing w:after="80"/>
      </w:pPr>
      <w:r>
        <w:t xml:space="preserve">Bulk edit panel: apply a value to any editable field across the current selection.</w:t>
      </w:r>
    </w:p>
    <w:p>
      <w:pPr>
        <w:pStyle w:val="ListParagraph"/>
        <w:numPr>
          <w:ilvl w:val="0"/>
          <w:numId w:val="2"/>
        </w:numPr>
        <w:spacing w:after="80"/>
      </w:pPr>
      <w:r>
        <w:t xml:space="preserve">Column filtering and sorting; saved filter views.</w:t>
      </w:r>
    </w:p>
    <w:p>
      <w:pPr>
        <w:pStyle w:val="ListParagraph"/>
        <w:numPr>
          <w:ilvl w:val="0"/>
          <w:numId w:val="2"/>
        </w:numPr>
        <w:spacing w:after="80"/>
      </w:pPr>
      <w:r>
        <w:t xml:space="preserve">CSV round-trip: export the staged grid, edit in Excel, re-import to apply changes (matched on tenant ID).</w:t>
      </w:r>
    </w:p>
    <w:p>
      <w:pPr>
        <w:pStyle w:val="ListParagraph"/>
        <w:numPr>
          <w:ilvl w:val="0"/>
          <w:numId w:val="2"/>
        </w:numPr>
        <w:spacing w:after="80"/>
      </w:pPr>
      <w:r>
        <w:t xml:space="preserve">Inline validation chips showing GDAP role shortfalls before commit.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24"/>
              <w:bottom w:val="single" w:color="F5A623" w:sz="1"/>
              <w:right w:val="single" w:color="F5A623" w:sz="1"/>
            </w:tcBorders>
            <w:shd w:fill="FDF3E0" w:val="clear"/>
            <w:tcMar>
              <w:top w:type="dxa" w:w="140"/>
              <w:left w:type="dxa" w:w="200"/>
              <w:bottom w:type="dxa" w:w="140"/>
              <w:right w:type="dxa" w:w="200"/>
            </w:tcMar>
          </w:tcPr>
          <w:p>
            <w:pPr>
              <w:spacing w:after="60"/>
            </w:pPr>
            <w:r>
              <w:rPr>
                <w:b/>
                <w:bCs/>
                <w:color w:val="1B2A4A"/>
              </w:rPr>
              <w:t xml:space="preserve">Why this matters</w:t>
            </w:r>
          </w:p>
          <w:p>
            <w:r>
              <w:t xml:space="preserve">Every future client added under GDAP appears automatically on the next discovery run — pre-staged, validated and one click from managed. The same grid pattern (stage → bulk edit → validate → commit) is reused by the Audit Engine’s scoping and the Connector Deployment module (Section 6).</w:t>
            </w:r>
          </w:p>
        </w:tc>
      </w:tr>
    </w:tbl>
    <w:p>
      <w:pPr>
        <w:pStyle w:val="Heading1"/>
        <w:pageBreakBefore/>
      </w:pPr>
      <w:r>
        <w:t xml:space="preserve">5. Audit Engine &amp; Baseline Compliance (Core Feature)</w:t>
      </w:r>
    </w:p>
    <w:p>
      <w:pPr>
        <w:spacing w:after="160"/>
      </w:pPr>
      <w:r>
        <w:t xml:space="preserve">The Audit Engine is what makes TenantDeck an auditing tool rather than a browser. On every sync, each tenant’s cached configuration is evaluated against a library of checks; results are scored, trended, diffed over time and exported as client-ready evidence. Everything below runs with read-only access (Global Reader GDAP role).</w:t>
      </w:r>
    </w:p>
    <w:p>
      <w:pPr>
        <w:pStyle w:val="Heading2"/>
      </w:pPr>
      <w:r>
        <w:t xml:space="preserve">5.1 Baseline Check Library</w:t>
      </w:r>
    </w:p>
    <w:p>
      <w:pPr>
        <w:spacing w:after="160"/>
      </w:pPr>
      <w:r>
        <w:t xml:space="preserve">Checks ship in an Affinity IT default baseline and are individually toggleable; each check defines its data source, pass/warn/fail logic, severity, evidence fields and recommended remediation text. Initial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Category</w:t>
            </w:r>
          </w:p>
        </w:tc>
        <w:tc>
          <w:tcPr>
            <w:tcW w:type="dxa" w:w="6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Example checks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Identity hygiene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MFA registered for all users; no admins without MFA; Global Administrator count within 2–4; no stale admin accounts (no sign-in 60+ days); break-glass account present and excluded correctly; guest accounts reviewed (count and age).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Tenant security posture</w:t>
            </w:r>
          </w:p>
        </w:tc>
        <w:tc>
          <w:tcPr>
            <w:tcW w:type="dxa" w:w="6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Security defaults or Conditional Access in force; legacy authentication blocked; user app-consent restricted; self-service password reset enabled.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Exchange security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DKIM signing enabled for every custom domain; external auto-forwarding disabled or justified; mailbox auditing enabled tenant-wide; no transport rules that allow-list domains/IPs around spam filtering; shared mailboxes have sign-in blocked.</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Mail authentication (DNS)</w:t>
            </w:r>
          </w:p>
        </w:tc>
        <w:tc>
          <w:tcPr>
            <w:tcW w:type="dxa" w:w="6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SPF present and single-record; DMARC present with enforcement policy; DKIM CNAMEs resolving — cross-checked between DNS and EXO configuration.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Licensing hygiene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unassigned paid licenses above threshold; no licensed accounts disabled or inactive 90+ days; no duplicate-capability license stacking.</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Data hygiene</w:t>
            </w:r>
          </w:p>
        </w:tc>
        <w:tc>
          <w:tcPr>
            <w:tcW w:type="dxa" w:w="6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Ownerless groups and Teams; empty groups; users with no manager in scoped tenants.</w:t>
            </w:r>
          </w:p>
        </w:tc>
      </w:tr>
    </w:tbl>
    <w:p>
      <w:pPr>
        <w:spacing w:after="120"/>
      </w:pPr>
    </w:p>
    <w:p>
      <w:pPr>
        <w:pStyle w:val="Heading2"/>
      </w:pPr>
      <w:r>
        <w:t xml:space="preserve">5.2 Compromise Indicators</w:t>
      </w:r>
    </w:p>
    <w:p>
      <w:pPr>
        <w:spacing w:after="160"/>
      </w:pPr>
      <w:r>
        <w:t xml:space="preserve">A focused subset of checks targets the patterns that show up in business email compromise and illicit-consent incidents — the things an MSP most wants to catch early:</w:t>
      </w:r>
    </w:p>
    <w:p>
      <w:pPr>
        <w:pStyle w:val="ListParagraph"/>
        <w:numPr>
          <w:ilvl w:val="0"/>
          <w:numId w:val="2"/>
        </w:numPr>
        <w:spacing w:after="80"/>
      </w:pPr>
      <w:r>
        <w:rPr>
          <w:b/>
          <w:bCs/>
        </w:rPr>
        <w:t xml:space="preserve">Suspicious inbox rules. </w:t>
      </w:r>
      <w:r>
        <w:t xml:space="preserve">Estate-wide sweep of mailbox inbox rules flagging external forwarding, delete-after-forward, and classic hiding patterns (moving mail to RSS Subscriptions/Archive, marking as read).</w:t>
      </w:r>
    </w:p>
    <w:p>
      <w:pPr>
        <w:pStyle w:val="ListParagraph"/>
        <w:numPr>
          <w:ilvl w:val="0"/>
          <w:numId w:val="2"/>
        </w:numPr>
        <w:spacing w:after="80"/>
      </w:pPr>
      <w:r>
        <w:rPr>
          <w:b/>
          <w:bCs/>
        </w:rPr>
        <w:t xml:space="preserve">Risky OAuth consents. </w:t>
      </w:r>
      <w:r>
        <w:t xml:space="preserve">Inventory of enterprise applications and permission grants per tenant, flagging high-risk scopes (mail read/send, full directory access), recently consented apps, and apps consented by end users.</w:t>
      </w:r>
    </w:p>
    <w:p>
      <w:pPr>
        <w:pStyle w:val="ListParagraph"/>
        <w:numPr>
          <w:ilvl w:val="0"/>
          <w:numId w:val="2"/>
        </w:numPr>
        <w:spacing w:after="80"/>
      </w:pPr>
      <w:r>
        <w:rPr>
          <w:b/>
          <w:bCs/>
        </w:rPr>
        <w:t xml:space="preserve">Privilege changes. </w:t>
      </w:r>
      <w:r>
        <w:t xml:space="preserve">Newly created accounts holding admin roles, and admin role membership diffs between syncs.</w:t>
      </w:r>
    </w:p>
    <w:p>
      <w:pPr>
        <w:pStyle w:val="ListParagraph"/>
        <w:numPr>
          <w:ilvl w:val="0"/>
          <w:numId w:val="2"/>
        </w:numPr>
        <w:spacing w:after="80"/>
      </w:pPr>
      <w:r>
        <w:rPr>
          <w:b/>
          <w:bCs/>
        </w:rPr>
        <w:t xml:space="preserve">Forwarding exposure. </w:t>
      </w:r>
      <w:r>
        <w:t xml:space="preserve">Mailbox-level forwarding (ForwardingSmtpAddress) and transport-rule forwarding correlated into a single external-exfiltration view.</w:t>
      </w:r>
    </w:p>
    <w:p>
      <w:pPr>
        <w:spacing w:after="120"/>
      </w:pPr>
    </w:p>
    <w:p>
      <w:pPr>
        <w:pStyle w:val="Heading2"/>
      </w:pPr>
      <w:r>
        <w:t xml:space="preserve">5.3 Scoring, League Table and Trends</w:t>
      </w:r>
    </w:p>
    <w:p>
      <w:pPr>
        <w:pStyle w:val="ListParagraph"/>
        <w:numPr>
          <w:ilvl w:val="0"/>
          <w:numId w:val="2"/>
        </w:numPr>
        <w:spacing w:after="80"/>
      </w:pPr>
      <w:r>
        <w:t xml:space="preserve">Each check returns pass/warn/fail with evidence; severity-weighted scores roll up to a tenant compliance percentage.</w:t>
      </w:r>
    </w:p>
    <w:p>
      <w:pPr>
        <w:pStyle w:val="ListParagraph"/>
        <w:numPr>
          <w:ilvl w:val="0"/>
          <w:numId w:val="2"/>
        </w:numPr>
        <w:spacing w:after="80"/>
      </w:pPr>
      <w:r>
        <w:t xml:space="preserve">Estate league table ranks tenants by score with movement since last period — the at-a-glance answer to “who needs attention”.</w:t>
      </w:r>
    </w:p>
    <w:p>
      <w:pPr>
        <w:pStyle w:val="ListParagraph"/>
        <w:numPr>
          <w:ilvl w:val="0"/>
          <w:numId w:val="2"/>
        </w:numPr>
        <w:spacing w:after="80"/>
      </w:pPr>
      <w:r>
        <w:t xml:space="preserve">Secure Score (Microsoft Graph secureScores) is pulled per tenant and trended alongside the TenantDeck score for corroboration.</w:t>
      </w:r>
    </w:p>
    <w:p>
      <w:pPr>
        <w:pStyle w:val="ListParagraph"/>
        <w:numPr>
          <w:ilvl w:val="0"/>
          <w:numId w:val="2"/>
        </w:numPr>
        <w:spacing w:after="80"/>
      </w:pPr>
      <w:r>
        <w:t xml:space="preserve">Score history is retained, so client reviews can show measurable improvement quarter on quarter.</w:t>
      </w:r>
    </w:p>
    <w:p>
      <w:pPr>
        <w:spacing w:after="120"/>
      </w:pPr>
    </w:p>
    <w:p>
      <w:pPr>
        <w:pStyle w:val="Heading2"/>
      </w:pPr>
      <w:r>
        <w:t xml:space="preserve">5.4 Configuration Time Machine</w:t>
      </w:r>
    </w:p>
    <w:p>
      <w:pPr>
        <w:spacing w:after="160"/>
      </w:pPr>
      <w:r>
        <w:t xml:space="preserve">Every sync stores a normalised snapshot of each tenant’s audited configuration. The time machine lets an engineer pick any tenant and any two dates and see a field-level diff — what changed, when it was first observed, across users, roles, licenses, domains, connectors, transport rules and policy settings. An estate-wide “what changed this week” digest surfaces material changes (new admins, new forwarding, disabled DKIM, new OAuth consents) without anyone going looking.</w:t>
      </w:r>
    </w:p>
    <w:p>
      <w:pPr>
        <w:spacing w:after="120"/>
      </w:pPr>
    </w:p>
    <w:p>
      <w:pPr>
        <w:pStyle w:val="Heading2"/>
      </w:pPr>
      <w:r>
        <w:t xml:space="preserve">5.5 Custom Checks and Evidence Output</w:t>
      </w:r>
    </w:p>
    <w:p>
      <w:pPr>
        <w:pStyle w:val="ListParagraph"/>
        <w:numPr>
          <w:ilvl w:val="0"/>
          <w:numId w:val="2"/>
        </w:numPr>
        <w:spacing w:after="80"/>
      </w:pPr>
      <w:r>
        <w:rPr>
          <w:b/>
          <w:bCs/>
        </w:rPr>
        <w:t xml:space="preserve">Custom checks. </w:t>
      </w:r>
      <w:r>
        <w:t xml:space="preserve">Checks are JSON definitions over the cached data model (field, operator, threshold, severity, remediation text), so Affinity IT can add house rules without code changes.</w:t>
      </w:r>
    </w:p>
    <w:p>
      <w:pPr>
        <w:pStyle w:val="ListParagraph"/>
        <w:numPr>
          <w:ilvl w:val="0"/>
          <w:numId w:val="2"/>
        </w:numPr>
        <w:spacing w:after="80"/>
      </w:pPr>
      <w:r>
        <w:rPr>
          <w:b/>
          <w:bCs/>
        </w:rPr>
        <w:t xml:space="preserve">Evidence-grade output. </w:t>
      </w:r>
      <w:r>
        <w:t xml:space="preserve">Every finding carries its evidence rows and remediation guidance, and exports into the branded client audit report or CSV for raising Autotask tickets.</w:t>
      </w:r>
    </w:p>
    <w:p>
      <w:pPr>
        <w:pStyle w:val="ListParagraph"/>
        <w:numPr>
          <w:ilvl w:val="0"/>
          <w:numId w:val="2"/>
        </w:numPr>
        <w:spacing w:after="80"/>
      </w:pPr>
      <w:r>
        <w:rPr>
          <w:b/>
          <w:bCs/>
        </w:rPr>
        <w:t xml:space="preserve">Graceful degradation. </w:t>
      </w:r>
      <w:r>
        <w:t xml:space="preserve">Checks requiring data a tenant cannot provide (e.g. sign-in activity needs Entra ID P1) report “not assessable” rather than failing, with the licensing reason stated.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24"/>
              <w:bottom w:val="single" w:color="F5A623" w:sz="1"/>
              <w:right w:val="single" w:color="F5A623" w:sz="1"/>
            </w:tcBorders>
            <w:shd w:fill="FDF3E0" w:val="clear"/>
            <w:tcMar>
              <w:top w:type="dxa" w:w="140"/>
              <w:left w:type="dxa" w:w="200"/>
              <w:bottom w:type="dxa" w:w="140"/>
              <w:right w:type="dxa" w:w="200"/>
            </w:tcMar>
          </w:tcPr>
          <w:p>
            <w:pPr>
              <w:spacing w:after="60"/>
            </w:pPr>
            <w:r>
              <w:rPr>
                <w:b/>
                <w:bCs/>
                <w:color w:val="1B2A4A"/>
              </w:rPr>
              <w:t xml:space="preserve">Why this is the core</w:t>
            </w:r>
          </w:p>
          <w:p>
            <w:r>
              <w:t xml:space="preserve">Individually, each check is a thing a good engineer already knows to look at. The value is running all of them, against every tenant, on every sync, with history — turning tribal knowledge into a measurable, reportable, billable audit practice.</w:t>
            </w:r>
          </w:p>
        </w:tc>
      </w:tr>
    </w:tbl>
    <w:p>
      <w:pPr>
        <w:pStyle w:val="Heading1"/>
        <w:pageBreakBefore/>
      </w:pPr>
      <w:r>
        <w:t xml:space="preserve">6. Exchange Connector Deployment (Reference Write Module)</w:t>
      </w:r>
    </w:p>
    <w:p>
      <w:pPr>
        <w:spacing w:after="160"/>
      </w:pPr>
      <w:r>
        <w:t xml:space="preserve">TenantDeck includes one write capability by design: deploying and managing Exchange Online connectors for SMTP relay / application sending across many tenants at once, from reusable templates, with every field editable per-tenant in a staging grid before anything is committed. Beyond its direct usefulness, this module is the reference implementation of the guarded write pattern (stage → validate → dry-run → preview → deploy → snapshot → rollback) that any future write module will reuse.</w:t>
      </w:r>
    </w:p>
    <w:p>
      <w:pPr>
        <w:spacing w:after="160"/>
      </w:pPr>
      <w:r>
        <w:t xml:space="preserve">Typical use case: a client site has printers, scanners or a line-of-business application that needs to relay mail through Exchange Online from a static IP. Today that means hand-creating and later hand-editing a connector in each tenant’s Exchange admin centre. With TenantDeck it becomes: pick the relay template, pick the tenants, set each tenant’s IPs in the grid, review the dry-run, deploy — with the whole estate’s relay connectors inventoried and drift-monitored afterwards.</w:t>
      </w:r>
    </w:p>
    <w:p>
      <w:pPr>
        <w:pStyle w:val="Heading2"/>
      </w:pPr>
      <w:r>
        <w:t xml:space="preserve">6.1 Feasibility Under GDAP (Research Summary)</w:t>
      </w:r>
    </w:p>
    <w:p>
      <w:pPr>
        <w:spacing w:after="160"/>
      </w:pPr>
      <w:r>
        <w:t xml:space="preserve">Mail flow connectors have no Microsoft Graph API surface — they are managed exclusively through Exchange Online PowerShell. Crucially, the ExchangeOnlineManagement module fully supports the GDAP delegated model: a partner engineer connects to any customer with Connect-ExchangeOnline -DelegatedOrganization &lt;customer&gt;.onmicrosoft.com using their own Affinity IT credentials, with no app registration or footprint in the customer tenant. This matches the zero-footprint login model in Section 7 exactly. The engineer's GDAP relationship must include the Exchange Administrator role for connector writes; read/drift-detection works with Global Reader.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526"/>
        <w:gridCol w:w="2200"/>
      </w:tblGrid>
      <w:tr>
        <w:trPr>
          <w:tblHeader/>
        </w:trPr>
        <w:tc>
          <w:tcPr>
            <w:tcW w:type="dxa" w:w="3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Capability</w:t>
            </w:r>
          </w:p>
        </w:tc>
        <w:tc>
          <w:tcPr>
            <w:tcW w:type="dxa" w:w="3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Mechanism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Feasible via GDAP</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Create/update/remove inbound connectors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New/Set/Remove-InboundConnector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Exchange Administrator</w:t>
            </w:r>
          </w:p>
        </w:tc>
      </w:tr>
      <w:tr>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Create/update/remove outbound connectors</w:t>
            </w:r>
          </w:p>
        </w:tc>
        <w:tc>
          <w:tcPr>
            <w:tcW w:type="dxa" w:w="35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New/Set/Remove-OutboundConnector</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Yes — Exchange Administrator</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Enhanced Filtering for Connectors (skip-listing)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EFSkipLastIP / EFSkipIPs / EFUsers / EFTestMode on the inbound connector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same cmdlets</w:t>
            </w:r>
          </w:p>
        </w:tc>
      </w:tr>
      <w:tr>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Paired transport rules (SCL bypass, force-route)</w:t>
            </w:r>
          </w:p>
        </w:tc>
        <w:tc>
          <w:tcPr>
            <w:tcW w:type="dxa" w:w="35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New/Set-TransportRule</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Yes — Exchange Administrator</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Outbound connector validation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Validate-OutboundConnector with test recipients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Read/inventory/drift detection</w:t>
            </w:r>
          </w:p>
        </w:tc>
        <w:tc>
          <w:tcPr>
            <w:tcW w:type="dxa" w:w="35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Get-InboundConnector / Get-OutboundConnector / Get-TransportRule</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Yes — Global Reader sufficient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24"/>
              <w:bottom w:val="single" w:color="F5A623" w:sz="1"/>
              <w:right w:val="single" w:color="F5A623" w:sz="1"/>
            </w:tcBorders>
            <w:shd w:fill="FDF3E0" w:val="clear"/>
            <w:tcMar>
              <w:top w:type="dxa" w:w="140"/>
              <w:left w:type="dxa" w:w="200"/>
              <w:bottom w:type="dxa" w:w="140"/>
              <w:right w:type="dxa" w:w="200"/>
            </w:tcMar>
          </w:tcPr>
          <w:p>
            <w:pPr>
              <w:spacing w:after="60"/>
            </w:pPr>
            <w:r>
              <w:rPr>
                <w:b/>
                <w:bCs/>
                <w:color w:val="1B2A4A"/>
              </w:rPr>
              <w:t xml:space="preserve">Architectural consequence</w:t>
            </w:r>
          </w:p>
          <w:p>
            <w:r>
              <w:t xml:space="preserve">The bundled PowerShell 7 + ExchangeOnlineManagement engine is promoted from optional helper to first-class component. TenantDeck ships a managed pwsh runtime, maintains a pooled delegated session per tenant during deployment runs, and translates every grid action into audited cmdlet invocations — engineers never touch a console.</w:t>
            </w:r>
          </w:p>
        </w:tc>
      </w:tr>
    </w:tbl>
    <w:p>
      <w:pPr>
        <w:spacing w:after="120"/>
      </w:pPr>
    </w:p>
    <w:p>
      <w:pPr>
        <w:pStyle w:val="Heading2"/>
      </w:pPr>
      <w:r>
        <w:t xml:space="preserve">6.2 Templates</w:t>
      </w:r>
    </w:p>
    <w:p>
      <w:pPr>
        <w:spacing w:after="160"/>
      </w:pPr>
      <w:r>
        <w:t xml:space="preserve">A template defines one or more connector objects plus optional Enhanced Filtering settings and transport rules, with per-field defaults and placeholders (e.g. {tenant.defaultDomain}). Templates are versioned JSON stored locally and exportable for sharing. TenantDeck ships with starter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Template</w:t>
            </w:r>
          </w:p>
        </w:tc>
        <w:tc>
          <w:tcPr>
            <w:tcW w:type="dxa" w:w="63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Contents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security gateway (generic)</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Inbound partner connector restricted to gateway IPs or TLS certificate; Enhanced Filtering skip-list for those IPs; SCL − 1 bypass transport rule scoped to gateway IPs; optional outbound smart-host connector for outbound filtering.</w:t>
            </w:r>
          </w:p>
        </w:tc>
      </w:tr>
      <w:tr>
        <w:tc>
          <w:tcPr>
            <w:tcW w:type="dxa" w:w="2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Affinity IT house presets</w:t>
            </w:r>
          </w:p>
        </w:tc>
        <w:tc>
          <w:tcPr>
            <w:tcW w:type="dxa" w:w="63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Saved copies of the generic templates pre-filled with the IP ranges, certificate names and rule settings of the products Affinity IT actually deploys — created once from a real deployment, versioned, and reused estate-wide. Vendor IP/cert values live in editable data files so a vendor change is a one-file update.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SMTP relay / application sending</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Inbound OnPremises connector restricted to client static IPs (printers, scanners, LOB apps), with optional accepted-domain association.</w:t>
            </w:r>
          </w:p>
        </w:tc>
      </w:tr>
      <w:tr>
        <w:tc>
          <w:tcPr>
            <w:tcW w:type="dxa" w:w="2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Hybrid / on-premises mail flow</w:t>
            </w:r>
          </w:p>
        </w:tc>
        <w:tc>
          <w:tcPr>
            <w:tcW w:type="dxa" w:w="63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Inbound and outbound OnPremises connector pair with TLS certificate matching for hybrid coexistence scenarios.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Outbound smart host</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Outbound connector routing all or selected recipient domains via specified smart hosts with mandatory TLS.</w:t>
            </w:r>
          </w:p>
        </w:tc>
      </w:tr>
    </w:tbl>
    <w:p>
      <w:pPr>
        <w:spacing w:after="120"/>
      </w:pPr>
    </w:p>
    <w:p>
      <w:pPr>
        <w:pStyle w:val="Heading2"/>
      </w:pPr>
      <w:r>
        <w:t xml:space="preserve">6.3 Deployment Workflow</w:t>
      </w:r>
    </w:p>
    <w:p>
      <w:pPr>
        <w:pStyle w:val="ListParagraph"/>
        <w:numPr>
          <w:ilvl w:val="0"/>
          <w:numId w:val="4"/>
        </w:numPr>
        <w:spacing w:after="80"/>
      </w:pPr>
      <w:r>
        <w:rPr>
          <w:b/>
          <w:bCs/>
        </w:rPr>
        <w:t xml:space="preserve">Select template and tenants. </w:t>
      </w:r>
      <w:r>
        <w:t xml:space="preserve">Pick tenants from the Tenant Registry by search or saved selection; pre-flight confirms Exchange Administrator GDAP role and Exchange Online presence per tenant.</w:t>
      </w:r>
    </w:p>
    <w:p>
      <w:pPr>
        <w:pStyle w:val="ListParagraph"/>
        <w:numPr>
          <w:ilvl w:val="0"/>
          <w:numId w:val="4"/>
        </w:numPr>
        <w:spacing w:after="80"/>
      </w:pPr>
      <w:r>
        <w:rPr>
          <w:b/>
          <w:bCs/>
        </w:rPr>
        <w:t xml:space="preserve">Stage. </w:t>
      </w:r>
      <w:r>
        <w:t xml:space="preserve">The template expands into one row per tenant per connector object in the editable grid, placeholders resolved from registry data. Every field is editable per-row; bulk edit applies a value across the selection (e.g. paste updated vendor IP ranges once).</w:t>
      </w:r>
    </w:p>
    <w:p>
      <w:pPr>
        <w:pStyle w:val="ListParagraph"/>
        <w:numPr>
          <w:ilvl w:val="0"/>
          <w:numId w:val="4"/>
        </w:numPr>
        <w:spacing w:after="80"/>
      </w:pPr>
      <w:r>
        <w:rPr>
          <w:b/>
          <w:bCs/>
        </w:rPr>
        <w:t xml:space="preserve">Validate. </w:t>
      </w:r>
      <w:r>
        <w:t xml:space="preserve">Inline checks: IP/CIDR syntax, certificate name format, conflicts with existing connectors of the same name, duplicate sender-domain coverage, and warnings where a tenant already routes via a different gateway.</w:t>
      </w:r>
    </w:p>
    <w:p>
      <w:pPr>
        <w:pStyle w:val="ListParagraph"/>
        <w:numPr>
          <w:ilvl w:val="0"/>
          <w:numId w:val="4"/>
        </w:numPr>
        <w:spacing w:after="80"/>
      </w:pPr>
      <w:r>
        <w:rPr>
          <w:b/>
          <w:bCs/>
        </w:rPr>
        <w:t xml:space="preserve">Dry run. </w:t>
      </w:r>
      <w:r>
        <w:t xml:space="preserve">TenantDeck connects to each tenant read-only, diffs staged objects against live state, and shows exactly what will be created, changed or left untouched — including a generated PowerShell preview per tenant for engineer review.</w:t>
      </w:r>
    </w:p>
    <w:p>
      <w:pPr>
        <w:pStyle w:val="ListParagraph"/>
        <w:numPr>
          <w:ilvl w:val="0"/>
          <w:numId w:val="4"/>
        </w:numPr>
        <w:spacing w:after="80"/>
      </w:pPr>
      <w:r>
        <w:rPr>
          <w:b/>
          <w:bCs/>
        </w:rPr>
        <w:t xml:space="preserve">Deploy. </w:t>
      </w:r>
      <w:r>
        <w:t xml:space="preserve">Connectors can be committed Enabled or staged disabled; Enhanced Filtering can be committed in EFTestMode first. Execution runs tenant-by-tenant with progress, per-tenant success/failure isolation and automatic retry on transient throttling.</w:t>
      </w:r>
    </w:p>
    <w:p>
      <w:pPr>
        <w:pStyle w:val="ListParagraph"/>
        <w:numPr>
          <w:ilvl w:val="0"/>
          <w:numId w:val="4"/>
        </w:numPr>
        <w:spacing w:after="80"/>
      </w:pPr>
      <w:r>
        <w:rPr>
          <w:b/>
          <w:bCs/>
        </w:rPr>
        <w:t xml:space="preserve">Verify. </w:t>
      </w:r>
      <w:r>
        <w:t xml:space="preserve">Post-deploy, outbound connectors are validated via Validate-OutboundConnector against a configurable test recipient, and inbound state is re-read and stored as the new baseline snapshot.</w:t>
      </w:r>
    </w:p>
    <w:p>
      <w:pPr>
        <w:spacing w:after="120"/>
      </w:pPr>
    </w:p>
    <w:p>
      <w:pPr>
        <w:pStyle w:val="Heading2"/>
      </w:pPr>
      <w:r>
        <w:t xml:space="preserve">6.4 Editable Fields (Staging Grid)</w:t>
      </w:r>
    </w:p>
    <w:p>
      <w:pPr>
        <w:pStyle w:val="Heading3"/>
      </w:pPr>
      <w:r>
        <w:t xml:space="preserve">Inbound connector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Field</w:t>
            </w:r>
          </w:p>
        </w:tc>
        <w:tc>
          <w:tcPr>
            <w:tcW w:type="dxa" w:w="3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Cmdlet parameter</w:t>
            </w:r>
          </w:p>
        </w:tc>
        <w:tc>
          <w:tcPr>
            <w:tcW w:type="dxa" w:w="3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Notes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 Comment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-Comment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Comment auto-stamped with template name, version and deployment ID for traceability.</w:t>
            </w:r>
          </w:p>
        </w:tc>
      </w:tr>
      <w:tr>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Connector type</w:t>
            </w:r>
          </w:p>
        </w:tc>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-ConnectorType</w:t>
            </w:r>
          </w:p>
        </w:tc>
        <w:tc>
          <w:tcPr>
            <w:tcW w:type="dxa" w:w="3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Partner (gateway/vendor) or OnPremises (relay/hybrid).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Sender scoping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-SenderDomains, -SenderIPAddresses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Domains and/or source IPs the connector applies to.</w:t>
            </w:r>
          </w:p>
        </w:tc>
      </w:tr>
      <w:tr>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TLS enforcement</w:t>
            </w:r>
          </w:p>
        </w:tc>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-RequireTls, -TlsSenderCertificateName</w:t>
            </w:r>
          </w:p>
        </w:tc>
        <w:tc>
          <w:tcPr>
            <w:tcW w:type="dxa" w:w="3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Optional certificate-subject matching for vendor connections.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Restriction mode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-RestrictDomainsToIPAddresses / -RestrictDomainsToCertificate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Locks the sender domains to the IPs or certificate — the key anti-spoofing control.</w:t>
            </w:r>
          </w:p>
        </w:tc>
      </w:tr>
      <w:tr>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Enabled</w:t>
            </w:r>
          </w:p>
        </w:tc>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-Enabled</w:t>
            </w:r>
          </w:p>
        </w:tc>
        <w:tc>
          <w:tcPr>
            <w:tcW w:type="dxa" w:w="3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Supports disabled staging for change-window cutover.</w:t>
            </w:r>
          </w:p>
        </w:tc>
      </w:tr>
    </w:tbl>
    <w:p>
      <w:pPr>
        <w:spacing w:after="120"/>
      </w:pPr>
    </w:p>
    <w:p>
      <w:pPr>
        <w:pStyle w:val="Heading3"/>
      </w:pPr>
      <w:r>
        <w:t xml:space="preserve">Enhanced Filtering (applied to the inbound connector)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Field</w:t>
            </w:r>
          </w:p>
        </w:tc>
        <w:tc>
          <w:tcPr>
            <w:tcW w:type="dxa" w:w="3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Cmdlet parameter</w:t>
            </w:r>
          </w:p>
        </w:tc>
        <w:tc>
          <w:tcPr>
            <w:tcW w:type="dxa" w:w="3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Notes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Skip last hop</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-EFSkipLastIP $true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single-hop gateway setup; simplest correct configuration.</w:t>
            </w:r>
          </w:p>
        </w:tc>
      </w:tr>
      <w:tr>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Skip explicit IPs</w:t>
            </w:r>
          </w:p>
        </w:tc>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-EFSkipIPs</w:t>
            </w:r>
          </w:p>
        </w:tc>
        <w:tc>
          <w:tcPr>
            <w:tcW w:type="dxa" w:w="3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For multi-hop paths; accepts single IPs, ranges and CIDR.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 users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-EFUsers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Restrict Enhanced Filtering to named recipients during rollout; blank = all recipients.</w:t>
            </w:r>
          </w:p>
        </w:tc>
      </w:tr>
      <w:tr>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Test mode</w:t>
            </w:r>
          </w:p>
        </w:tc>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-EFTestMode</w:t>
            </w:r>
          </w:p>
        </w:tc>
        <w:tc>
          <w:tcPr>
            <w:tcW w:type="dxa" w:w="3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Evaluate without acting — used by the staged rollout flow.</w:t>
            </w:r>
          </w:p>
        </w:tc>
      </w:tr>
    </w:tbl>
    <w:p>
      <w:pPr>
        <w:spacing w:after="120"/>
      </w:pPr>
    </w:p>
    <w:p>
      <w:pPr>
        <w:pStyle w:val="Heading3"/>
      </w:pPr>
      <w:r>
        <w:t xml:space="preserve">Outbound connector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Field</w:t>
            </w:r>
          </w:p>
        </w:tc>
        <w:tc>
          <w:tcPr>
            <w:tcW w:type="dxa" w:w="3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Cmdlet parameter</w:t>
            </w:r>
          </w:p>
        </w:tc>
        <w:tc>
          <w:tcPr>
            <w:tcW w:type="dxa" w:w="3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Notes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hosts / routing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-SmartHosts, -UseMXRecord</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Route via gateway hosts or revert to MX.</w:t>
            </w:r>
          </w:p>
        </w:tc>
      </w:tr>
      <w:tr>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Recipient scoping</w:t>
            </w:r>
          </w:p>
        </w:tc>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-RecipientDomains, -AllAcceptedDomains</w:t>
            </w:r>
          </w:p>
        </w:tc>
        <w:tc>
          <w:tcPr>
            <w:tcW w:type="dxa" w:w="3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All mail or selected destination domains.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TLS policy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-TlsSettings, -TlsDomain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EncryptionOnly / CertificateValidation / DomainValidation.</w:t>
            </w:r>
          </w:p>
        </w:tc>
      </w:tr>
      <w:tr>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Rule-scoped routing</w:t>
            </w:r>
          </w:p>
        </w:tc>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-IsTransportRuleScoped</w:t>
            </w:r>
          </w:p>
        </w:tc>
        <w:tc>
          <w:tcPr>
            <w:tcW w:type="dxa" w:w="3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Pair with a transport rule for conditional routing.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Validate-OutboundConnector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post-deploy send test to a configured recipient.</w:t>
            </w:r>
          </w:p>
        </w:tc>
      </w:tr>
    </w:tbl>
    <w:p>
      <w:pPr>
        <w:spacing w:after="120"/>
      </w:pPr>
    </w:p>
    <w:p>
      <w:pPr>
        <w:pStyle w:val="Heading3"/>
      </w:pPr>
      <w:r>
        <w:t xml:space="preserve">Paired transport rule (optional per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Field</w:t>
            </w:r>
          </w:p>
        </w:tc>
        <w:tc>
          <w:tcPr>
            <w:tcW w:type="dxa" w:w="6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SCL bypass rule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SCL to −1 for mail from the gateway IPs — generated and kept in sync with the connector's IP list automatically.</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Force-route rule</w:t>
            </w:r>
          </w:p>
        </w:tc>
        <w:tc>
          <w:tcPr>
            <w:tcW w:type="dxa" w:w="66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Route matching mail via the outbound connector when -IsTransportRuleScoped is used.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Naming &amp; priority</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Standardised rule names with template/version stamp; configurable priority with conflict warnings against existing rules.</w:t>
            </w:r>
          </w:p>
        </w:tc>
      </w:tr>
    </w:tbl>
    <w:p>
      <w:pPr>
        <w:spacing w:after="120"/>
      </w:pPr>
    </w:p>
    <w:p>
      <w:pPr>
        <w:pStyle w:val="Heading2"/>
      </w:pPr>
      <w:r>
        <w:t xml:space="preserve">6.5 Estate Management: Drift, Updates and Rollback</w:t>
      </w:r>
    </w:p>
    <w:p>
      <w:pPr>
        <w:pStyle w:val="ListParagraph"/>
        <w:numPr>
          <w:ilvl w:val="0"/>
          <w:numId w:val="2"/>
        </w:numPr>
        <w:spacing w:after="80"/>
      </w:pPr>
      <w:r>
        <w:rPr>
          <w:b/>
          <w:bCs/>
        </w:rPr>
        <w:t xml:space="preserve">Connector inventory. </w:t>
      </w:r>
      <w:r>
        <w:t xml:space="preserve">Scheduled sync reads every connector and related transport rule across the estate into the cache — a single grid answers “which tenants have which connectors, enabled or not, last changed when”.</w:t>
      </w:r>
    </w:p>
    <w:p>
      <w:pPr>
        <w:pStyle w:val="ListParagraph"/>
        <w:numPr>
          <w:ilvl w:val="0"/>
          <w:numId w:val="2"/>
        </w:numPr>
        <w:spacing w:after="80"/>
      </w:pPr>
      <w:r>
        <w:rPr>
          <w:b/>
          <w:bCs/>
        </w:rPr>
        <w:t xml:space="preserve">Drift detection. </w:t>
      </w:r>
      <w:r>
        <w:t xml:space="preserve">Tenants deployed from a template are diffed against it on every sync; any out-of-band change in the Exchange admin centre (field edited, connector disabled, rule deleted) raises a drift alert with a field-level diff and one-click re-align.</w:t>
      </w:r>
    </w:p>
    <w:p>
      <w:pPr>
        <w:pStyle w:val="ListParagraph"/>
        <w:numPr>
          <w:ilvl w:val="0"/>
          <w:numId w:val="2"/>
        </w:numPr>
        <w:spacing w:after="80"/>
      </w:pPr>
      <w:r>
        <w:rPr>
          <w:b/>
          <w:bCs/>
        </w:rPr>
        <w:t xml:space="preserve">Vendor IP propagation. </w:t>
      </w:r>
      <w:r>
        <w:t xml:space="preserve">When a gateway vendor changes its published IPs, update the template's IP data file once and push to all tenants on that template — SenderIPAddresses, EFSkipIPs and the SCL rule update together in one run.</w:t>
      </w:r>
    </w:p>
    <w:p>
      <w:pPr>
        <w:pStyle w:val="ListParagraph"/>
        <w:numPr>
          <w:ilvl w:val="0"/>
          <w:numId w:val="2"/>
        </w:numPr>
        <w:spacing w:after="80"/>
      </w:pPr>
      <w:r>
        <w:rPr>
          <w:b/>
          <w:bCs/>
        </w:rPr>
        <w:t xml:space="preserve">Snapshots and rollback. </w:t>
      </w:r>
      <w:r>
        <w:t xml:space="preserve">Before any write, the affected tenant's full connector and transport rule state is snapshotted locally; every deployment is reversible per-tenant with one click, and snapshots are retained with the audit log.</w:t>
      </w:r>
    </w:p>
    <w:p>
      <w:pPr>
        <w:pStyle w:val="ListParagraph"/>
        <w:numPr>
          <w:ilvl w:val="0"/>
          <w:numId w:val="2"/>
        </w:numPr>
        <w:spacing w:after="80"/>
      </w:pPr>
      <w:r>
        <w:rPr>
          <w:b/>
          <w:bCs/>
        </w:rPr>
        <w:t xml:space="preserve">Audit log. </w:t>
      </w:r>
      <w:r>
        <w:t xml:space="preserve">Every cmdlet executed, per tenant, with who/when/template/version and the exact parameter set — exportable as a change-record PDF for client documentation.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24"/>
              <w:bottom w:val="single" w:color="F5A623" w:sz="1"/>
              <w:right w:val="single" w:color="F5A623" w:sz="1"/>
            </w:tcBorders>
            <w:shd w:fill="FDF3E0" w:val="clear"/>
            <w:tcMar>
              <w:top w:type="dxa" w:w="140"/>
              <w:left w:type="dxa" w:w="200"/>
              <w:bottom w:type="dxa" w:w="140"/>
              <w:right w:type="dxa" w:w="200"/>
            </w:tcMar>
          </w:tcPr>
          <w:p>
            <w:pPr>
              <w:spacing w:after="60"/>
            </w:pPr>
            <w:r>
              <w:rPr>
                <w:b/>
                <w:bCs/>
                <w:color w:val="1B2A4A"/>
              </w:rPr>
              <w:t xml:space="preserve">Safety stance</w:t>
            </w:r>
          </w:p>
          <w:p>
            <w:r>
              <w:t xml:space="preserve">Mail flow is the one place a bulk tool can do estate-wide damage. Every deployment therefore passes through dry-run diff and PowerShell preview; supports disabled/EFTestMode staging; validates outbound paths after commit; and is reversible from automatic pre-change snapshots. Bulk deploys above a configurable tenant count require typed confirmation of the tenant count.</w:t>
            </w:r>
          </w:p>
        </w:tc>
      </w:tr>
    </w:tbl>
    <w:p>
      <w:pPr>
        <w:pStyle w:val="Heading1"/>
        <w:pageBreakBefore/>
      </w:pPr>
      <w:r>
        <w:t xml:space="preserve">7. Authentication &amp; GDAP Architecture</w:t>
      </w:r>
    </w:p>
    <w:p>
      <w:pPr>
        <w:pStyle w:val="Heading2"/>
      </w:pPr>
      <w:r>
        <w:t xml:space="preserve">7.1 Design Goal: Sign In Like Partner Center</w:t>
      </w:r>
    </w:p>
    <w:p>
      <w:pPr>
        <w:spacing w:after="160"/>
      </w:pPr>
      <w:r>
        <w:t xml:space="preserve">TenantDeck requires no app registration anywhere — not in customer tenants and not in the Affinity IT partner tenant. The login experience mirrors Partner Center: an engineer signs in once with their Affinity IT account (MFA enforced by existing Conditional Access), and their GDAP role assignments alone determine what they can see in each customer tenant. Nothing is created, consented or deployed in any tenant.</w:t>
      </w:r>
    </w:p>
    <w:p>
      <w:pPr>
        <w:pStyle w:val="Heading2"/>
      </w:pPr>
      <w:r>
        <w:t xml:space="preserve">7.2 Mechanism: Pre-Consented First-Party Client</w:t>
      </w:r>
    </w:p>
    <w:p>
      <w:pPr>
        <w:spacing w:after="160"/>
      </w:pPr>
      <w:r>
        <w:t xml:space="preserve">TenantDeck authenticates as a </w:t>
      </w:r>
      <w:r>
        <w:rPr>
          <w:b/>
          <w:bCs/>
        </w:rPr>
        <w:t xml:space="preserve">Microsoft first-party public client</w:t>
      </w:r>
      <w:r>
        <w:t xml:space="preserve"> that is multi-tenant and pre-consented across Microsoft Entra ID — the same approach used when an engineer runs Connect-MgGraph against a GDAP customer today. Default client: </w:t>
      </w:r>
      <w:r>
        <w:rPr>
          <w:b/>
          <w:bCs/>
        </w:rPr>
        <w:t xml:space="preserve">Microsoft Graph Command Line Tools</w:t>
      </w:r>
      <w:r>
        <w:t xml:space="preserve"> (client ID 14d82eec-204b-4c2f-b7e8-296a70dab67e), configurable in Settings.</w:t>
      </w:r>
    </w:p>
    <w:p>
      <w:pPr>
        <w:pStyle w:val="ListParagraph"/>
        <w:numPr>
          <w:ilvl w:val="0"/>
          <w:numId w:val="5"/>
        </w:numPr>
        <w:spacing w:after="80"/>
      </w:pPr>
      <w:r>
        <w:rPr>
          <w:b/>
          <w:bCs/>
        </w:rPr>
        <w:t xml:space="preserve">Sign-in. </w:t>
      </w:r>
      <w:r>
        <w:t xml:space="preserve">MSAL public client flow via the system browser (auth code + PKCE) against the partner tenant authority. No client secret exists anywhere in the app or in CI.</w:t>
      </w:r>
    </w:p>
    <w:p>
      <w:pPr>
        <w:pStyle w:val="ListParagraph"/>
        <w:numPr>
          <w:ilvl w:val="0"/>
          <w:numId w:val="5"/>
        </w:numPr>
        <w:spacing w:after="80"/>
      </w:pPr>
      <w:r>
        <w:rPr>
          <w:b/>
          <w:bCs/>
        </w:rPr>
        <w:t xml:space="preserve">Token cache. </w:t>
      </w:r>
      <w:r>
        <w:t xml:space="preserve">The refresh token is encrypted with Electron safeStorage (DPAPI on Windows, libsecret on Linux) — never written in plaintext.</w:t>
      </w:r>
    </w:p>
    <w:p>
      <w:pPr>
        <w:pStyle w:val="ListParagraph"/>
        <w:numPr>
          <w:ilvl w:val="0"/>
          <w:numId w:val="5"/>
        </w:numPr>
        <w:spacing w:after="80"/>
      </w:pPr>
      <w:r>
        <w:rPr>
          <w:b/>
          <w:bCs/>
        </w:rPr>
        <w:t xml:space="preserve">Per-tenant tokens. </w:t>
      </w:r>
      <w:r>
        <w:t xml:space="preserve">For each connector, TenantDeck silently redeems the cached refresh token against that customer's authority (login.microsoftonline.com/{customerTenantId}). Because the client is pre-consented, Entra issues the token immediately; the engineer's effective rights are the intersection of the requested scopes and their GDAP roles in that tenant.</w:t>
      </w:r>
    </w:p>
    <w:p>
      <w:pPr>
        <w:pStyle w:val="ListParagraph"/>
        <w:numPr>
          <w:ilvl w:val="0"/>
          <w:numId w:val="5"/>
        </w:numPr>
        <w:spacing w:after="80"/>
      </w:pPr>
      <w:r>
        <w:rPr>
          <w:b/>
          <w:bCs/>
        </w:rPr>
        <w:t xml:space="preserve">Discovery. </w:t>
      </w:r>
      <w:r>
        <w:t xml:space="preserve">GDAP relationships are enumerated with the same identity via the Graph delegatedAdminRelationships endpoint in the partner tenant — this is what feeds the Tenant Registry.</w:t>
      </w:r>
    </w:p>
    <w:p>
      <w:pPr>
        <w:pStyle w:val="ListParagraph"/>
        <w:numPr>
          <w:ilvl w:val="0"/>
          <w:numId w:val="5"/>
        </w:numPr>
        <w:spacing w:after="80"/>
      </w:pPr>
      <w:r>
        <w:rPr>
          <w:b/>
          <w:bCs/>
        </w:rPr>
        <w:t xml:space="preserve">Exchange access. </w:t>
      </w:r>
      <w:r>
        <w:t xml:space="preserve">Connector management and deeper EXO settings (transport rules, detailed forwarding) use the bundled PowerShell 7 + ExchangeOnlineManagement engine, connecting per tenant with Connect-ExchangeOnline -DelegatedOrganization under the same signed-in identity — the exact mechanism Partner Center-era delegated admin uses. Mailbox usage statistics come from Graph reports endpoints.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24"/>
              <w:bottom w:val="single" w:color="F5A623" w:sz="1"/>
              <w:right w:val="single" w:color="F5A623" w:sz="1"/>
            </w:tcBorders>
            <w:shd w:fill="FDF3E0" w:val="clear"/>
            <w:tcMar>
              <w:top w:type="dxa" w:w="140"/>
              <w:left w:type="dxa" w:w="200"/>
              <w:bottom w:type="dxa" w:w="140"/>
              <w:right w:type="dxa" w:w="200"/>
            </w:tcMar>
          </w:tcPr>
          <w:p>
            <w:pPr>
              <w:spacing w:after="60"/>
            </w:pPr>
            <w:r>
              <w:rPr>
                <w:b/>
                <w:bCs/>
                <w:color w:val="1B2A4A"/>
              </w:rPr>
              <w:t xml:space="preserve">Zero-footprint guarantee</w:t>
            </w:r>
          </w:p>
          <w:p>
            <w:r>
              <w:t xml:space="preserve">Customer tenants are touched only by delegated, GDAP-scoped Graph and Exchange Online calls made as the signed-in engineer. There is no service principal to consent, no certificate to rotate, no secret to store, and offboarding a client requires nothing beyond ending the GDAP relationship.</w:t>
            </w:r>
          </w:p>
        </w:tc>
      </w:tr>
    </w:tbl>
    <w:p>
      <w:pPr>
        <w:spacing w:after="120"/>
      </w:pPr>
    </w:p>
    <w:p>
      <w:pPr>
        <w:pStyle w:val="Heading2"/>
      </w:pPr>
      <w:r>
        <w:t xml:space="preserve">7.3 Trade-Offs and Hardened Alternative</w:t>
      </w:r>
    </w:p>
    <w:p>
      <w:pPr>
        <w:spacing w:after="160"/>
      </w:pPr>
      <w:r>
        <w:t xml:space="preserve">Relying on a Microsoft first-party client is pragmatic and widely used in MSP tooling, but it carries two caveats: available scopes are bounded by what that client is consented for, and Microsoft could change first-party client behaviour over time. If either ever bites, the fallback is a single app registration in the partner tenant only, with consent pushed into customer tenants programmatically via the Partner Center applicationconsents API — executed in bulk as an optional Connector Builder step, still with no manual per-tenant registration. This is documented as a v2 toggle, not a v1 requirement.</w:t>
      </w:r>
    </w:p>
    <w:p>
      <w:pPr>
        <w:spacing w:after="120"/>
      </w:pPr>
    </w:p>
    <w:p>
      <w:pPr>
        <w:pStyle w:val="Heading2"/>
      </w:pPr>
      <w:r>
        <w:t xml:space="preserve">7.4 Required GDAP Roles per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Module</w:t>
            </w:r>
          </w:p>
        </w:tc>
        <w:tc>
          <w:tcPr>
            <w:tcW w:type="dxa" w:w="4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Minimum GDAP role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Engine, Identity &amp; Users, Groups &amp; Teams, Domains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 Reader</w:t>
            </w:r>
          </w:p>
        </w:tc>
      </w:tr>
      <w:tr>
        <w:tc>
          <w:tcPr>
            <w:tcW w:type="dxa" w:w="4513"/>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Licensing Intelligence</w:t>
            </w:r>
          </w:p>
        </w:tc>
        <w:tc>
          <w:tcPr>
            <w:tcW w:type="dxa" w:w="4513"/>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Global Reader (Directory Readers acceptable)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Exchange Online auditing (read, drift detection)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 Reader</w:t>
            </w:r>
          </w:p>
        </w:tc>
      </w:tr>
      <w:tr>
        <w:tc>
          <w:tcPr>
            <w:tcW w:type="dxa" w:w="4513"/>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Exchange Connector Deployment (write)</w:t>
            </w:r>
          </w:p>
        </w:tc>
        <w:tc>
          <w:tcPr>
            <w:tcW w:type="dxa" w:w="4513"/>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Exchange Administrator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Usage reports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Reports Reader or Global Reader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24"/>
              <w:bottom w:val="single" w:color="F5A623" w:sz="1"/>
              <w:right w:val="single" w:color="F5A623" w:sz="1"/>
            </w:tcBorders>
            <w:shd w:fill="FDF3E0" w:val="clear"/>
            <w:tcMar>
              <w:top w:type="dxa" w:w="140"/>
              <w:left w:type="dxa" w:w="200"/>
              <w:bottom w:type="dxa" w:w="140"/>
              <w:right w:type="dxa" w:w="200"/>
            </w:tcMar>
          </w:tcPr>
          <w:p>
            <w:pPr>
              <w:spacing w:after="60"/>
            </w:pPr>
            <w:r>
              <w:rPr>
                <w:b/>
                <w:bCs/>
                <w:color w:val="1B2A4A"/>
              </w:rPr>
              <w:t xml:space="preserve">Security stance</w:t>
            </w:r>
          </w:p>
          <w:p>
            <w:r>
              <w:t xml:space="preserve">TenantDeck is read-only everywhere except the Exchange Connector Deployment module, whose writes are guarded by dry-run diffs, previews, snapshots and rollback (Section 6.5). The pre-flight validator enforces least privilege by warning when a tenant’s GDAP relationship grants more than the enabled modules need, as well as when it grants less.</w:t>
            </w:r>
          </w:p>
        </w:tc>
      </w:tr>
    </w:tbl>
    <w:p>
      <w:pPr>
        <w:pStyle w:val="Heading1"/>
        <w:pageBreakBefore/>
      </w:pPr>
      <w:r>
        <w:t xml:space="preserve">8. Technical Architecture</w:t>
      </w:r>
    </w:p>
    <w:p>
      <w:pPr>
        <w:pStyle w:val="Heading2"/>
      </w:pPr>
      <w:r>
        <w:t xml:space="preserve">8.1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26"/>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Layer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Technology</w:t>
            </w:r>
          </w:p>
        </w:tc>
        <w:tc>
          <w:tcPr>
            <w:tcW w:type="dxa" w:w="47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Shell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Electron 31+</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contextIsolation on, nodeIntegration off, sandboxed renderer.</w:t>
            </w:r>
          </w:p>
        </w:tc>
      </w:tr>
      <w:tr>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UI</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React 18 + TypeScript + Vite</w:t>
            </w:r>
          </w:p>
        </w:tc>
        <w:tc>
          <w:tcPr>
            <w:tcW w:type="dxa" w:w="47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Component library: shadcn/ui-style with Tailwind; TanStack Table for grids; TanStack Query for 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 process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(TypeScript)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Graph/EXO calls, token handling and DB access live in main; renderer talks via typed IPC only.</w:t>
            </w:r>
          </w:p>
        </w:tc>
      </w:tr>
      <w:tr>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Auth</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@azure/msal-node</w:t>
            </w:r>
          </w:p>
        </w:tc>
        <w:tc>
          <w:tcPr>
            <w:tcW w:type="dxa" w:w="47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Public client (Microsoft first-party, pre-consented); auth code + PKCE via system browser; safeStorage-encrypted token cache.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better-sqlite3</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cache, one schema, tenant_id-keyed tables; SQLCipher-style encryption via key in safeStorage.</w:t>
            </w:r>
          </w:p>
        </w:tc>
      </w:tr>
      <w:tr>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EXO engine</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PowerShell 7 + ExchangeOnlineManagement</w:t>
            </w:r>
          </w:p>
        </w:tc>
        <w:tc>
          <w:tcPr>
            <w:tcW w:type="dxa" w:w="47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Managed pwsh runtime bundled per platform; pooled Connect-ExchangeOnline -DelegatedOrganization sessions; every cmdlet invocation logged to the audit trail.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Recharts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Licensing and usage visualisations.</w:t>
            </w:r>
          </w:p>
        </w:tc>
      </w:tr>
      <w:tr>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PDF reports</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Headless Chromium print-to-PDF</w:t>
            </w:r>
          </w:p>
        </w:tc>
        <w:tc>
          <w:tcPr>
            <w:tcW w:type="dxa" w:w="47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HTML report templates rendered in a hidden window; Affinity IT branding hardcoded (navy #1B2A4A, amber #F5A623).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Packaging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electron-builder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NSIS .exe (x64) and .deb (x64); electron-updater for silent updates from GitHub Releases.</w:t>
            </w:r>
          </w:p>
        </w:tc>
      </w:tr>
    </w:tbl>
    <w:p>
      <w:pPr>
        <w:spacing w:after="120"/>
      </w:pPr>
    </w:p>
    <w:p>
      <w:pPr>
        <w:pStyle w:val="Heading2"/>
      </w:pPr>
      <w:r>
        <w:t xml:space="preserve">8.2 Process &amp; Data Flow</w:t>
      </w:r>
    </w:p>
    <w:p>
      <w:pPr>
        <w:pStyle w:val="ListParagraph"/>
        <w:numPr>
          <w:ilvl w:val="0"/>
          <w:numId w:val="6"/>
        </w:numPr>
        <w:spacing w:after="80"/>
      </w:pPr>
      <w:r>
        <w:t xml:space="preserve">Renderer requests data (e.g. “licensing for all tenants tagged Gold”) over typed IPC.</w:t>
      </w:r>
    </w:p>
    <w:p>
      <w:pPr>
        <w:pStyle w:val="ListParagraph"/>
        <w:numPr>
          <w:ilvl w:val="0"/>
          <w:numId w:val="6"/>
        </w:numPr>
        <w:spacing w:after="80"/>
      </w:pPr>
      <w:r>
        <w:t xml:space="preserve">Main process serves from SQLite cache instantly; if stale per the tenant's sync schedule, a background refresh is queued.</w:t>
      </w:r>
    </w:p>
    <w:p>
      <w:pPr>
        <w:pStyle w:val="ListParagraph"/>
        <w:numPr>
          <w:ilvl w:val="0"/>
          <w:numId w:val="6"/>
        </w:numPr>
        <w:spacing w:after="80"/>
      </w:pPr>
      <w:r>
        <w:t xml:space="preserve">Sync worker iterates tenants with a concurrency limit (default 4), acquiring per-tenant tokens silently and paging Graph results with delta queries where supported.</w:t>
      </w:r>
    </w:p>
    <w:p>
      <w:pPr>
        <w:pStyle w:val="ListParagraph"/>
        <w:numPr>
          <w:ilvl w:val="0"/>
          <w:numId w:val="6"/>
        </w:numPr>
        <w:spacing w:after="80"/>
      </w:pPr>
      <w:r>
        <w:t xml:space="preserve">Graph throttling (429) is honoured via Retry-After with exponential backoff; per-tenant failures are isolated and surfaced on the connector's status chip without failing the batch.</w:t>
      </w:r>
    </w:p>
    <w:p>
      <w:pPr>
        <w:pStyle w:val="ListParagraph"/>
        <w:numPr>
          <w:ilvl w:val="0"/>
          <w:numId w:val="6"/>
        </w:numPr>
        <w:spacing w:after="80"/>
      </w:pPr>
      <w:r>
        <w:t xml:space="preserve">Cache writes are transactional per tenant per entity type; the UI live-updates via IPC events.</w:t>
      </w:r>
    </w:p>
    <w:p>
      <w:pPr>
        <w:spacing w:after="120"/>
      </w:pPr>
    </w:p>
    <w:p>
      <w:pPr>
        <w:pStyle w:val="Heading2"/>
      </w:pPr>
      <w:r>
        <w:t xml:space="preserve">8.3 Local Data &amp; Security</w:t>
      </w:r>
    </w:p>
    <w:p>
      <w:pPr>
        <w:pStyle w:val="ListParagraph"/>
        <w:numPr>
          <w:ilvl w:val="0"/>
          <w:numId w:val="2"/>
        </w:numPr>
        <w:spacing w:after="80"/>
      </w:pPr>
      <w:r>
        <w:t xml:space="preserve">All cached tenant data is encrypted at rest; the encryption key never leaves OS-level secure storage.</w:t>
      </w:r>
    </w:p>
    <w:p>
      <w:pPr>
        <w:pStyle w:val="ListParagraph"/>
        <w:numPr>
          <w:ilvl w:val="0"/>
          <w:numId w:val="2"/>
        </w:numPr>
        <w:spacing w:after="80"/>
      </w:pPr>
      <w:r>
        <w:t xml:space="preserve">No data leaves the engineer's machine except calls to Microsoft endpoints; there is no telemetry and no third-party backend.</w:t>
      </w:r>
    </w:p>
    <w:p>
      <w:pPr>
        <w:pStyle w:val="ListParagraph"/>
        <w:numPr>
          <w:ilvl w:val="0"/>
          <w:numId w:val="2"/>
        </w:numPr>
        <w:spacing w:after="80"/>
      </w:pPr>
      <w:r>
        <w:t xml:space="preserve">App lock option: require Windows Hello / system password re-auth after configurable idle time.</w:t>
      </w:r>
    </w:p>
    <w:p>
      <w:pPr>
        <w:pStyle w:val="ListParagraph"/>
        <w:numPr>
          <w:ilvl w:val="0"/>
          <w:numId w:val="2"/>
        </w:numPr>
        <w:spacing w:after="80"/>
      </w:pPr>
      <w:r>
        <w:t xml:space="preserve">One-click “purge tenant data” and “purge all cache” actions for offboarding and hygiene.</w:t>
      </w:r>
    </w:p>
    <w:p>
      <w:pPr>
        <w:pStyle w:val="Heading1"/>
        <w:pageBreakBefore/>
      </w:pPr>
      <w:r>
        <w:t xml:space="preserve">9. UI &amp; Screen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Screen</w:t>
            </w:r>
          </w:p>
        </w:tc>
        <w:tc>
          <w:tcPr>
            <w:tcW w:type="dxa" w:w="68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Key elements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Estate summary cards (tenants, users, licenses, waste £/mo), sync health strip, top alerts (MFA gaps, forwarding rules, DMARC missing).</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Tenant Registry</w:t>
            </w:r>
          </w:p>
        </w:tc>
        <w:tc>
          <w:tcPr>
            <w:tcW w:type="dxa" w:w="68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GDAP discovery, editable staging grid, bulk edit panel, commit summary, orphan clean-up.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library with toggles, findings grid (filter by tenant/category/severity), evidence drawer with remediation text, league table, score trends, time machine diff viewer.</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Connector Deployment</w:t>
            </w:r>
          </w:p>
        </w:tc>
        <w:tc>
          <w:tcPr>
            <w:tcW w:type="dxa" w:w="68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Relay template picker, tenant picker, editable staging grid, dry-run diff viewer with PowerShell preview, deployment progress, drift dashboard, snapshot/rollback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Tenant detail</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Per-tenant overview with compliance score, findings and module tabs; sync now; note editing.</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Users</w:t>
            </w:r>
          </w:p>
        </w:tc>
        <w:tc>
          <w:tcPr>
            <w:tcW w:type="dxa" w:w="68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Cross-tenant grid: tenant, UPN, display name, licensed, admin roles, MFA state, last sign-in; saved views (e.g. “Admins without MFA”).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Licensing</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Matrix view (tenant × SKU), waste view (unassigned counts × estimated cost), expiring/renewal panel.</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Groups &amp; Teams</w:t>
            </w:r>
          </w:p>
        </w:tc>
        <w:tc>
          <w:tcPr>
            <w:tcW w:type="dxa" w:w="68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Grid with type, privacy, owner count; ownerless filter.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Per-domain DNS health table with SPF/DKIM/DMARC pass/warn/fail and copyable expected records.</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Exchange</w:t>
            </w:r>
          </w:p>
        </w:tc>
        <w:tc>
          <w:tcPr>
            <w:tcW w:type="dxa" w:w="68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Mailboxes tab (type, size, quota %), Forwarding audit tab (external forwarding highlighted red), Transport rules tab, Permissions tab.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 builder: pick tenant(s), pick sections, preview, export branded PDF; export history.</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Settings</w:t>
            </w:r>
          </w:p>
        </w:tc>
        <w:tc>
          <w:tcPr>
            <w:tcW w:type="dxa" w:w="68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Partner connection, sync defaults, concurrency, theme, app lock, update channel.</w:t>
            </w:r>
          </w:p>
        </w:tc>
      </w:tr>
    </w:tbl>
    <w:p>
      <w:pPr>
        <w:spacing w:after="120"/>
      </w:pPr>
    </w:p>
    <w:p>
      <w:pPr>
        <w:spacing w:after="160"/>
      </w:pPr>
      <w:r>
        <w:t xml:space="preserve">Design language follows existing Affinity IT internal tools: navy </w:t>
      </w:r>
      <w:r>
        <w:rPr>
          <w:b/>
          <w:bCs/>
        </w:rPr>
        <w:t xml:space="preserve">#1B2A4A</w:t>
      </w:r>
      <w:r>
        <w:t xml:space="preserve"> primary, amber </w:t>
      </w:r>
      <w:r>
        <w:rPr>
          <w:b/>
          <w:bCs/>
        </w:rPr>
        <w:t xml:space="preserve">#F5A623</w:t>
      </w:r>
      <w:r>
        <w:t xml:space="preserve"> accent, light neutral surfaces, dense data grids with generous filtering. Dark mode included from v1.</w:t>
      </w:r>
    </w:p>
    <w:p>
      <w:pPr>
        <w:pStyle w:val="Heading1"/>
        <w:pageBreakBefore/>
      </w:pPr>
      <w:r>
        <w:t xml:space="preserve">10. Build &amp; Distribution (GitHub Actions)</w:t>
      </w:r>
    </w:p>
    <w:p>
      <w:pPr>
        <w:pStyle w:val="Heading2"/>
      </w:pPr>
      <w:r>
        <w:t xml:space="preserve">10.1 Pipeline</w:t>
      </w:r>
    </w:p>
    <w:p>
      <w:pPr>
        <w:spacing w:after="160"/>
      </w:pPr>
      <w:r>
        <w:t xml:space="preserve">A single workflow (.github/workflows/release.yml) triggered on version tags (v*) runs a two-job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Job</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Runner</w:t>
            </w:r>
          </w:p>
        </w:tc>
        <w:tc>
          <w:tcPr>
            <w:tcW w:type="dxa" w:w="44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build-windows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windows-latest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TenantDeck-Setup-x.y.z.exe (NSIS, x64) + latest.yml for electron-updater</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build-linux</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ubuntu-latest</w:t>
            </w:r>
          </w:p>
        </w:tc>
        <w:tc>
          <w:tcPr>
            <w:tcW w:type="dxa" w:w="4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tenantdeck_x.y.z_amd64.deb + latest-linux.yml</w:t>
            </w:r>
          </w:p>
        </w:tc>
      </w:tr>
    </w:tbl>
    <w:p>
      <w:pPr>
        <w:spacing w:after="120"/>
      </w:pPr>
    </w:p>
    <w:p>
      <w:pPr>
        <w:pStyle w:val="Heading2"/>
      </w:pPr>
      <w:r>
        <w:t xml:space="preserve">10.2 Workflow Stages</w:t>
      </w:r>
    </w:p>
    <w:p>
      <w:pPr>
        <w:pStyle w:val="ListParagraph"/>
        <w:numPr>
          <w:ilvl w:val="0"/>
          <w:numId w:val="7"/>
        </w:numPr>
        <w:spacing w:after="80"/>
      </w:pPr>
      <w:r>
        <w:t xml:space="preserve">Checkout, setup Node 20, restore npm cache.</w:t>
      </w:r>
    </w:p>
    <w:p>
      <w:pPr>
        <w:pStyle w:val="ListParagraph"/>
        <w:numPr>
          <w:ilvl w:val="0"/>
          <w:numId w:val="7"/>
        </w:numPr>
        <w:spacing w:after="80"/>
      </w:pPr>
      <w:r>
        <w:t xml:space="preserve">npm ci, typecheck (tsc --noEmit), lint, unit tests (Vitest).</w:t>
      </w:r>
    </w:p>
    <w:p>
      <w:pPr>
        <w:pStyle w:val="ListParagraph"/>
        <w:numPr>
          <w:ilvl w:val="0"/>
          <w:numId w:val="7"/>
        </w:numPr>
        <w:spacing w:after="80"/>
      </w:pPr>
      <w:r>
        <w:t xml:space="preserve">vite build (renderer) + esbuild (main/preload).</w:t>
      </w:r>
    </w:p>
    <w:p>
      <w:pPr>
        <w:pStyle w:val="ListParagraph"/>
        <w:numPr>
          <w:ilvl w:val="0"/>
          <w:numId w:val="7"/>
        </w:numPr>
        <w:spacing w:after="80"/>
      </w:pPr>
      <w:r>
        <w:t xml:space="preserve">electron-builder --publish never per platform; artifacts uploaded.</w:t>
      </w:r>
    </w:p>
    <w:p>
      <w:pPr>
        <w:pStyle w:val="ListParagraph"/>
        <w:numPr>
          <w:ilvl w:val="0"/>
          <w:numId w:val="7"/>
        </w:numPr>
        <w:spacing w:after="80"/>
      </w:pPr>
      <w:r>
        <w:t xml:space="preserve">Release job: on both builds succeeding, create GitHub Release for the tag and attach .exe, .deb and updater manifests.</w:t>
      </w:r>
    </w:p>
    <w:p>
      <w:pPr>
        <w:spacing w:after="120"/>
      </w:pPr>
    </w:p>
    <w:p>
      <w:pPr>
        <w:pStyle w:val="Heading2"/>
      </w:pPr>
      <w:r>
        <w:t xml:space="preserve">10.3 Distribution &amp; Updates</w:t>
      </w:r>
    </w:p>
    <w:p>
      <w:pPr>
        <w:pStyle w:val="ListParagraph"/>
        <w:numPr>
          <w:ilvl w:val="0"/>
          <w:numId w:val="2"/>
        </w:numPr>
        <w:spacing w:after="80"/>
      </w:pPr>
      <w:r>
        <w:t xml:space="preserve">Distribution is via GitHub Releases on a private Affinity IT repository — no public marketplace or store listing.</w:t>
      </w:r>
    </w:p>
    <w:p>
      <w:pPr>
        <w:pStyle w:val="ListParagraph"/>
        <w:numPr>
          <w:ilvl w:val="0"/>
          <w:numId w:val="2"/>
        </w:numPr>
        <w:spacing w:after="80"/>
      </w:pPr>
      <w:r>
        <w:t xml:space="preserve">electron-updater checks the Releases feed on launch and applies silent background updates (same pattern as the Dispatch extension's silent auto-update philosophy).</w:t>
      </w:r>
    </w:p>
    <w:p>
      <w:pPr>
        <w:pStyle w:val="ListParagraph"/>
        <w:numPr>
          <w:ilvl w:val="0"/>
          <w:numId w:val="2"/>
        </w:numPr>
        <w:spacing w:after="80"/>
      </w:pPr>
      <w:r>
        <w:t xml:space="preserve">Windows code signing is a Phase 8 decision (Azure Trusted Signing vs OV certificate); unsigned internal builds acceptable initially with SmartScreen guidance documented for engineers.</w:t>
      </w:r>
    </w:p>
    <w:p>
      <w:pPr>
        <w:pStyle w:val="ListParagraph"/>
        <w:numPr>
          <w:ilvl w:val="0"/>
          <w:numId w:val="2"/>
        </w:numPr>
        <w:spacing w:after="80"/>
      </w:pPr>
      <w:r>
        <w:t xml:space="preserve">CI secrets: GH_TOKEN only in v1. No Microsoft secrets are ever stored in CI — the app holds no client secret (public client + PKCE).</w:t>
      </w:r>
    </w:p>
    <w:p>
      <w:pPr>
        <w:pStyle w:val="Heading1"/>
        <w:pageBreakBefore/>
      </w:pPr>
      <w:r>
        <w:t xml:space="preserve">11. Project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326"/>
        <w:gridCol w:w="900"/>
      </w:tblGrid>
      <w:tr>
        <w:trPr>
          <w:tblHeader/>
        </w:trP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Phase</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Title</w:t>
            </w:r>
          </w:p>
        </w:tc>
        <w:tc>
          <w:tcPr>
            <w:tcW w:type="dxa" w:w="53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Deliverables</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Est.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Foundation</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 scaffold (Electron + Vite + React + TS), typed IPC layer, SQLite schema v1, CI skeleton building unsigned artifacts on both platforms from day 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wk</w:t>
            </w:r>
          </w:p>
        </w:tc>
      </w:tr>
      <w:tr>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2</w:t>
            </w:r>
          </w:p>
        </w:tc>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Authentication</w:t>
            </w:r>
          </w:p>
        </w:tc>
        <w:tc>
          <w:tcPr>
            <w:tcW w:type="dxa" w:w="53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MSAL sign-in, safeStorage token cache, per-tenant silent token acquisition, partner connection settings screen.</w:t>
            </w:r>
          </w:p>
        </w:tc>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1 wk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Tenant Registry</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GDAP discovery, staging grid with bulk edit, CSV round-trip, pre-flight role validation, commit + idempotent re-run, orphan handling.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wk</w:t>
            </w:r>
          </w:p>
        </w:tc>
      </w:tr>
      <w:tr>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4</w:t>
            </w:r>
          </w:p>
        </w:tc>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EXO Engine &amp; Connector Inventory</w:t>
            </w:r>
          </w:p>
        </w:tc>
        <w:tc>
          <w:tcPr>
            <w:tcW w:type="dxa" w:w="53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Bundled pwsh runtime, pooled delegated sessions, estate-wide connector/transport rule sync, inventory grid, baseline snapshots.</w:t>
            </w:r>
          </w:p>
        </w:tc>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1.5 wks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Connector Deployment</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Template library (generic gateway, vendor presets, relay, smart host, hybrid), staging grid, validation, dry-run diff + PowerShell preview, staged deploy (disabled / EFTestMode), Validate-OutboundConnector, rollback, drift detection, audit log.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wks</w:t>
            </w:r>
          </w:p>
        </w:tc>
      </w:tr>
      <w:tr>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6</w:t>
            </w:r>
          </w:p>
        </w:tc>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Identity, Licensing &amp; Domains</w:t>
            </w:r>
          </w:p>
        </w:tc>
        <w:tc>
          <w:tcPr>
            <w:tcW w:type="dxa" w:w="53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User sync (delta), MFA/auth methods, admin roles; SKU friendly-name map, licensing matrix and waste view; groups/Teams; domain SPF/DKIM/DMARC checks; Dashboard v1.</w:t>
            </w:r>
          </w:p>
        </w:tc>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2.5 wks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Reporting, Dashboard &amp; Search</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Branded client audit report builder, CSV/XLSX export everywhere, dashboard, global search.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wks</w:t>
            </w:r>
          </w:p>
        </w:tc>
      </w:tr>
      <w:tr>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8</w:t>
            </w:r>
          </w:p>
        </w:tc>
        <w:tc>
          <w:tcPr>
            <w:tcW w:type="dxa" w:w="2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Hardening &amp; Release</w:t>
            </w:r>
          </w:p>
        </w:tc>
        <w:tc>
          <w:tcPr>
            <w:tcW w:type="dxa" w:w="53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Throttling soak test against full estate, app lock, purge tools, signing decision, docs, v1.0.0 tagged release.</w:t>
            </w:r>
          </w:p>
        </w:tc>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1–2 wks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1"/>
              <w:left w:val="single" w:color="F5A623" w:sz="24"/>
              <w:bottom w:val="single" w:color="F5A623" w:sz="1"/>
              <w:right w:val="single" w:color="F5A623" w:sz="1"/>
            </w:tcBorders>
            <w:shd w:fill="FDF3E0" w:val="clear"/>
            <w:tcMar>
              <w:top w:type="dxa" w:w="140"/>
              <w:left w:type="dxa" w:w="200"/>
              <w:bottom w:type="dxa" w:w="140"/>
              <w:right w:type="dxa" w:w="200"/>
            </w:tcMar>
          </w:tcPr>
          <w:p>
            <w:pPr>
              <w:spacing w:after="60"/>
            </w:pPr>
            <w:r>
              <w:rPr>
                <w:b/>
                <w:bCs/>
                <w:color w:val="1B2A4A"/>
              </w:rPr>
              <w:t xml:space="preserve">Milestone gate</w:t>
            </w:r>
          </w:p>
          <w:p>
            <w:r>
              <w:t xml:space="preserve">Phase 5 is the value checkpoint: the default baseline evaluated across the full estate with believable scores and at least one genuine finding actioned. Phase 6 then proves the guarded write pattern by deploying, drifting, detecting and rolling back a relay connector on pilot tenants.</w:t>
            </w:r>
          </w:p>
        </w:tc>
      </w:tr>
    </w:tbl>
    <w:p>
      <w:pPr>
        <w:pStyle w:val="Heading1"/>
        <w:pageBreakBefore/>
      </w:pPr>
      <w:r>
        <w:t xml:space="preserve">12.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426"/>
      </w:tblGrid>
      <w:tr>
        <w:trPr>
          <w:tblHeader/>
        </w:trPr>
        <w:tc>
          <w:tcPr>
            <w:tcW w:type="dxa" w:w="3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Risk</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Likelihood</w:t>
            </w:r>
          </w:p>
        </w:tc>
        <w:tc>
          <w:tcPr>
            <w:tcW w:type="dxa" w:w="44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rPr>
              <w:t xml:space="preserve">Mitigation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throttling across many tenants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Per-tenant concurrency cap, Retry-After compliance, delta queries, staggered schedules.</w:t>
            </w:r>
          </w:p>
        </w:tc>
      </w:tr>
      <w:tr>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GDAP roles inconsistent across estate</w:t>
            </w:r>
          </w:p>
        </w:tc>
        <w:tc>
          <w:tcPr>
            <w:tcW w:type="dxa" w:w="1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High</w:t>
            </w:r>
          </w:p>
        </w:tc>
        <w:tc>
          <w:tcPr>
            <w:tcW w:type="dxa" w:w="4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Pre-flight validator names exact missing roles per tenant; remediation export to share with the GDAP admin.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EXO deep settings not fully on Graph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PowerShell 7 helper path with feature flags; modules degrade gracefully to Graph-only data.</w:t>
            </w:r>
          </w:p>
        </w:tc>
      </w:tr>
      <w:tr>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Token/conditional access friction (CA policies per customer)</w:t>
            </w:r>
          </w:p>
        </w:tc>
        <w:tc>
          <w:tcPr>
            <w:tcW w:type="dxa" w:w="1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Medium</w:t>
            </w:r>
          </w:p>
        </w:tc>
        <w:tc>
          <w:tcPr>
            <w:tcW w:type="dxa" w:w="4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Surface CA failures clearly per tenant; document required exclusions; tenants can be marked “directory-only”.</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Reliance on Microsoft first-party client behaviour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ID is configurable; hardened fallback (partner app + bulk Partner Center consent) designed and documented as a v2 toggle.</w:t>
            </w:r>
          </w:p>
        </w:tc>
      </w:tr>
      <w:tr>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SmartScreen warnings on unsigned .exe</w:t>
            </w:r>
          </w:p>
        </w:tc>
        <w:tc>
          <w:tcPr>
            <w:tcW w:type="dxa" w:w="1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Medium</w:t>
            </w:r>
          </w:p>
        </w:tc>
        <w:tc>
          <w:tcPr>
            <w:tcW w:type="dxa" w:w="4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Internal install guide initially; budget for signing at Phase 8.</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Connector misdeployment affecting client mail flow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 high impact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Relay connectors only in v1 (low blast radius); mandatory dry-run diff and PowerShell preview; disabled staging; automatic snapshots with one-click rollback; typed confirmation for large batches.</w:t>
            </w:r>
          </w:p>
        </w:tc>
      </w:tr>
      <w:tr>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Microsoft restricting connector creation behaviours</w:t>
            </w:r>
          </w:p>
        </w:tc>
        <w:tc>
          <w:tcPr>
            <w:tcW w:type="dxa" w:w="1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Low</w:t>
            </w:r>
          </w:p>
        </w:tc>
        <w:tc>
          <w:tcPr>
            <w:tcW w:type="dxa" w:w="4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Pre-flight surfaces per-tenant cmdlet errors verbatim (e.g. tenant-eligibility restrictions on OnPremises connectors); deployment isolates failures per tenant.</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False-positive audit findings eroding trust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check ships with evidence rows and a “not assessable” state; per-tenant check exclusions with recorded justification; baseline tuned during Phase 8 soak.</w:t>
            </w:r>
          </w:p>
        </w:tc>
      </w:tr>
      <w:tr>
        <w:tc>
          <w:tcPr>
            <w:tcW w:type="dxa" w:w="3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Scope creep into further write operations</w:t>
            </w:r>
          </w:p>
        </w:tc>
        <w:tc>
          <w:tcPr>
            <w:tcW w:type="dxa" w:w="1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Medium</w:t>
            </w:r>
          </w:p>
        </w:tc>
        <w:tc>
          <w:tcPr>
            <w:tcW w:type="dxa" w:w="4426"/>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 xml:space="preserve">v1 write surface is relay connectors only; all other writes tracked in the v2 backlog and must reuse the guarded write pattern.</w:t>
            </w:r>
          </w:p>
        </w:tc>
      </w:tr>
    </w:tbl>
    <w:p>
      <w:pPr>
        <w:pStyle w:val="Heading1"/>
        <w:pageBreakBefore/>
      </w:pPr>
      <w:r>
        <w:t xml:space="preserve">13. v2 Roadmap (Out of Scope for v1)</w:t>
      </w:r>
    </w:p>
    <w:p>
      <w:pPr>
        <w:pStyle w:val="ListParagraph"/>
        <w:numPr>
          <w:ilvl w:val="0"/>
          <w:numId w:val="2"/>
        </w:numPr>
        <w:spacing w:after="80"/>
      </w:pPr>
      <w:r>
        <w:t xml:space="preserve">Guided remediation: turn audit findings into one-click fixes through the guarded write pattern (disable forwarding rule, block shared mailbox sign-in, enable DKIM, enable mailbox auditing).</w:t>
      </w:r>
    </w:p>
    <w:p>
      <w:pPr>
        <w:pStyle w:val="ListParagraph"/>
        <w:numPr>
          <w:ilvl w:val="0"/>
          <w:numId w:val="2"/>
        </w:numPr>
        <w:spacing w:after="80"/>
      </w:pPr>
      <w:r>
        <w:t xml:space="preserve">Additional connector templates as content (security gateway with Enhanced Filtering, smart host, hybrid) on the existing template engine.</w:t>
      </w:r>
    </w:p>
    <w:p>
      <w:pPr>
        <w:pStyle w:val="ListParagraph"/>
        <w:numPr>
          <w:ilvl w:val="0"/>
          <w:numId w:val="2"/>
        </w:numPr>
        <w:spacing w:after="80"/>
      </w:pPr>
      <w:r>
        <w:t xml:space="preserve">Autotask PSA integration: map connectors to Autotask companies; push licensing waste findings as tickets (reusing patterns from the UniFi-to-Autotask alerting work).</w:t>
      </w:r>
    </w:p>
    <w:p>
      <w:pPr>
        <w:pStyle w:val="ListParagraph"/>
        <w:numPr>
          <w:ilvl w:val="0"/>
          <w:numId w:val="2"/>
        </w:numPr>
        <w:spacing w:after="80"/>
      </w:pPr>
      <w:r>
        <w:t xml:space="preserve">Scheduled emailed reports (monthly client health pack).</w:t>
      </w:r>
    </w:p>
    <w:p>
      <w:pPr>
        <w:pStyle w:val="ListParagraph"/>
        <w:numPr>
          <w:ilvl w:val="0"/>
          <w:numId w:val="2"/>
        </w:numPr>
        <w:spacing w:after="80"/>
      </w:pPr>
      <w:r>
        <w:t xml:space="preserve">Secure Score and basic Conditional Access posture module.</w:t>
      </w:r>
    </w:p>
    <w:p>
      <w:pPr>
        <w:pStyle w:val="ListParagraph"/>
        <w:numPr>
          <w:ilvl w:val="0"/>
          <w:numId w:val="2"/>
        </w:numPr>
        <w:spacing w:after="80"/>
      </w:pPr>
      <w:r>
        <w:t xml:space="preserve">Multi-engineer profiles with shared tag/view definitions via exported config.</w:t>
      </w:r>
    </w:p>
    <w:p>
      <w:pPr>
        <w:pStyle w:val="Heading1"/>
        <w:pageBreakBefore/>
      </w:pPr>
      <w:r>
        <w:t xml:space="preserve">14. Success Criteria</w:t>
      </w:r>
    </w:p>
    <w:p>
      <w:pPr>
        <w:pStyle w:val="ListParagraph"/>
        <w:numPr>
          <w:ilvl w:val="0"/>
          <w:numId w:val="8"/>
        </w:numPr>
        <w:spacing w:after="80"/>
      </w:pPr>
      <w:r>
        <w:t xml:space="preserve">Entire GDAP estate connected via one discovery run with fewer than 5% rows needing manual correction.</w:t>
      </w:r>
    </w:p>
    <w:p>
      <w:pPr>
        <w:pStyle w:val="ListParagraph"/>
        <w:numPr>
          <w:ilvl w:val="0"/>
          <w:numId w:val="8"/>
        </w:numPr>
        <w:spacing w:after="80"/>
      </w:pPr>
      <w:r>
        <w:t xml:space="preserve">Full-estate sync completes inside 30 minutes at default concurrency without manual intervention.</w:t>
      </w:r>
    </w:p>
    <w:p>
      <w:pPr>
        <w:pStyle w:val="ListParagraph"/>
        <w:numPr>
          <w:ilvl w:val="0"/>
          <w:numId w:val="8"/>
        </w:numPr>
        <w:spacing w:after="80"/>
      </w:pPr>
      <w:r>
        <w:t xml:space="preserve">“Admins without MFA” and “external forwarding” answers available estate-wide in under 10 seconds from cache.</w:t>
      </w:r>
    </w:p>
    <w:p>
      <w:pPr>
        <w:pStyle w:val="ListParagraph"/>
        <w:numPr>
          <w:ilvl w:val="0"/>
          <w:numId w:val="8"/>
        </w:numPr>
        <w:spacing w:after="80"/>
      </w:pPr>
      <w:r>
        <w:t xml:space="preserve">The default baseline evaluates across the full estate in one sync with per-tenant scores, and surfaces at least one genuine, actionable finding in the first week.</w:t>
      </w:r>
    </w:p>
    <w:p>
      <w:pPr>
        <w:pStyle w:val="ListParagraph"/>
        <w:numPr>
          <w:ilvl w:val="0"/>
          <w:numId w:val="8"/>
        </w:numPr>
        <w:spacing w:after="80"/>
      </w:pPr>
      <w:r>
        <w:t xml:space="preserve">A seeded compromise scenario (test inbox rule forwarding externally + high-risk OAuth consent in a lab tenant) is flagged within one sync cycle.</w:t>
      </w:r>
    </w:p>
    <w:p>
      <w:pPr>
        <w:pStyle w:val="ListParagraph"/>
        <w:numPr>
          <w:ilvl w:val="0"/>
          <w:numId w:val="8"/>
        </w:numPr>
        <w:spacing w:after="80"/>
      </w:pPr>
      <w:r>
        <w:t xml:space="preserve">The time machine produces an accurate field-level diff for a deliberately changed tenant between two dates.</w:t>
      </w:r>
    </w:p>
    <w:p>
      <w:pPr>
        <w:pStyle w:val="ListParagraph"/>
        <w:numPr>
          <w:ilvl w:val="0"/>
          <w:numId w:val="8"/>
        </w:numPr>
        <w:spacing w:after="80"/>
      </w:pPr>
      <w:r>
        <w:t xml:space="preserve">A relay connector deploys to 5+ pilot tenants in one run and rolls back cleanly on demand; out-of-band edits in the Exchange admin centre are flagged as drift within one sync cycle.</w:t>
      </w:r>
    </w:p>
    <w:p>
      <w:pPr>
        <w:pStyle w:val="ListParagraph"/>
        <w:numPr>
          <w:ilvl w:val="0"/>
          <w:numId w:val="8"/>
        </w:numPr>
        <w:spacing w:after="80"/>
      </w:pPr>
      <w:r>
        <w:t xml:space="preserve">Licensing waste view identifies recoverable spend in the first month of use.</w:t>
      </w:r>
    </w:p>
    <w:p>
      <w:pPr>
        <w:pStyle w:val="ListParagraph"/>
        <w:numPr>
          <w:ilvl w:val="0"/>
          <w:numId w:val="8"/>
        </w:numPr>
        <w:spacing w:after="80"/>
      </w:pPr>
      <w:r>
        <w:t xml:space="preserve">A branded client health PDF is produced in under one minute and used in at least one client review.</w:t>
      </w:r>
    </w:p>
    <w:p>
      <w:pPr>
        <w:pStyle w:val="ListParagraph"/>
        <w:numPr>
          <w:ilvl w:val="0"/>
          <w:numId w:val="8"/>
        </w:numPr>
        <w:spacing w:after="80"/>
      </w:pPr>
      <w:r>
        <w:t xml:space="preserve">Tagged release v1.0.0 produces installable .exe and .deb artifacts from GitHub Actions with zero manual build steps.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8"/>
        <w:szCs w:val="18"/>
      </w:rPr>
      <w:t xml:space="preserve">Internal — Affinity IT Engineering</w:t>
    </w:r>
    <w:r>
      <w:rPr>
        <w:color w:val="777777"/>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pPr>
    <w:r>
      <w:rPr>
        <w:b/>
        <w:bCs/>
        <w:color w:val="1B2A4A"/>
        <w:sz w:val="18"/>
        <w:szCs w:val="18"/>
      </w:rPr>
      <w:t xml:space="preserve">AFFINITY IT</w:t>
    </w:r>
    <w:r>
      <w:rPr>
        <w:color w:val="777777"/>
        <w:sz w:val="18"/>
        <w:szCs w:val="18"/>
      </w:rPr>
      <w:t xml:space="preserve">	TenantDeck — Project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A623" w:sz="8" w:space="4"/>
      </w:pBdr>
      <w:spacing w:after="200" w:before="280"/>
      <w:outlineLvl w:val="0"/>
    </w:pPr>
    <w:rPr>
      <w:rFonts w:ascii="Georgia" w:cs="Georgia" w:eastAsia="Georgia" w:hAnsi="Georgia"/>
      <w:b/>
      <w:bCs/>
      <w:color w:val="1B2A4A"/>
      <w:sz w:val="34"/>
      <w:szCs w:val="34"/>
    </w:rPr>
  </w:style>
  <w:style w:type="paragraph" w:styleId="Heading2">
    <w:name w:val="Heading 2"/>
    <w:basedOn w:val="Normal"/>
    <w:next w:val="Normal"/>
    <w:qFormat/>
    <w:pPr>
      <w:spacing w:after="140" w:before="220"/>
      <w:outlineLvl w:val="1"/>
    </w:pPr>
    <w:rPr>
      <w:rFonts w:ascii="Georgia" w:cs="Georgia" w:eastAsia="Georgia" w:hAnsi="Georgia"/>
      <w:b/>
      <w:bCs/>
      <w:color w:val="1B2A4A"/>
      <w:sz w:val="27"/>
      <w:szCs w:val="27"/>
    </w:rPr>
  </w:style>
  <w:style w:type="paragraph" w:styleId="Heading3">
    <w:name w:val="Heading 3"/>
    <w:basedOn w:val="Normal"/>
    <w:next w:val="Normal"/>
    <w:qFormat/>
    <w:pPr>
      <w:spacing w:after="100" w:before="180"/>
      <w:outlineLvl w:val="2"/>
    </w:pPr>
    <w:rPr>
      <w:rFonts w:ascii="Georgia" w:cs="Georgia" w:eastAsia="Georgia" w:hAnsi="Georgia"/>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2026-06-11T22:02:27.549Z</dcterms:created>
  <dcterms:modified xsi:type="dcterms:W3CDTF">2026-06-11T22:02:27.562Z</dcterms:modified>
</cp:coreProperties>
</file>

<file path=docProps/custom.xml><?xml version="1.0" encoding="utf-8"?>
<Properties xmlns="http://schemas.openxmlformats.org/officeDocument/2006/custom-properties" xmlns:vt="http://schemas.openxmlformats.org/officeDocument/2006/docPropsVTypes"/>
</file>