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B2A86"/>
          <w:sz w:val="64"/>
          <w:szCs w:val="64"/>
        </w:rPr>
        <w:t xml:space="preserve">WARDKEEP</w:t>
      </w:r>
    </w:p>
    <w:p>
      <w:pPr>
        <w:spacing w:after="400" w:before="200"/>
        <w:jc w:val="center"/>
      </w:pPr>
      <w:r>
        <w:rPr>
          <w:b/>
          <w:bCs/>
          <w:color w:val="333333"/>
          <w:sz w:val="36"/>
          <w:szCs w:val="36"/>
        </w:rPr>
        <w:t xml:space="preserve">Claude Code Brief</w:t>
      </w:r>
    </w:p>
    <w:p>
      <w:pPr>
        <w:spacing w:after="800"/>
        <w:jc w:val="center"/>
      </w:pPr>
      <w:r>
        <w:rPr>
          <w:i/>
          <w:iCs/>
          <w:color w:val="666666"/>
          <w:sz w:val="24"/>
          <w:szCs w:val="24"/>
        </w:rPr>
        <w:t xml:space="preserve">Build phases, conventions, acceptance criteria</w:t>
      </w:r>
    </w:p>
    <w:p>
      <w:pPr>
        <w:jc w:val="center"/>
      </w:pPr>
      <w:r>
        <w:rPr>
          <w:color w:val="888888"/>
          <w:sz w:val="20"/>
          <w:szCs w:val="20"/>
        </w:rPr>
        <w:t xml:space="preserve">Document 3 of 7 — NovelForge project suite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Purpose of This Document</w:t>
      </w:r>
    </w:p>
    <w:p>
      <w:pPr>
        <w:spacing w:after="120"/>
      </w:pPr>
      <w:r>
        <w:t xml:space="preserve">This is the direct build brief for Claude Code. It assumes the other six documents in this suite are available in the same repo (place them in /docs) and treats them as the source of truth for anything this brief summarizes. Where this brief and another document disagree, the more detailed document (Feature Spec for mechanics, Technical Architecture for structure) wins.</w:t>
      </w:r>
    </w:p>
    <w:p>
      <w:pPr>
        <w:pStyle w:val="Heading1"/>
        <w:spacing w:after="150" w:before="300"/>
      </w:pPr>
      <w:r>
        <w:t xml:space="preserve">2. Setup</w:t>
      </w:r>
    </w:p>
    <w:p>
      <w:pPr>
        <w:pStyle w:val="ListParagraph"/>
        <w:numPr>
          <w:ilvl w:val="0"/>
          <w:numId w:val="2"/>
        </w:numPr>
        <w:spacing w:after="60"/>
      </w:pPr>
      <w:r>
        <w:t xml:space="preserve">Create a new Godot 4.x project named wardkeep. Enable the mobile renderer (Forward+ is unnecessary for this art style and costs battery).</w:t>
      </w:r>
    </w:p>
    <w:p>
      <w:pPr>
        <w:pStyle w:val="ListParagraph"/>
        <w:numPr>
          <w:ilvl w:val="0"/>
          <w:numId w:val="2"/>
        </w:numPr>
        <w:spacing w:after="60"/>
      </w:pPr>
      <w:r>
        <w:t xml:space="preserve">Copy /docs/*.docx (this suite) into the repo's /docs folder, unconverted, for reference.</w:t>
      </w:r>
    </w:p>
    <w:p>
      <w:pPr>
        <w:pStyle w:val="ListParagraph"/>
        <w:numPr>
          <w:ilvl w:val="0"/>
          <w:numId w:val="2"/>
        </w:numPr>
        <w:spacing w:after="60"/>
      </w:pPr>
      <w:r>
        <w:t xml:space="preserve">Follow Pipeline/Integration Spec §2 to import only the referenced asset subfolders from the source Game_Assets.zip into res://assets/. Do not import the zip wholesale.</w:t>
      </w:r>
    </w:p>
    <w:p>
      <w:pPr>
        <w:pStyle w:val="ListParagraph"/>
        <w:numPr>
          <w:ilvl w:val="0"/>
          <w:numId w:val="2"/>
        </w:numPr>
        <w:spacing w:after="60"/>
      </w:pPr>
      <w:r>
        <w:t xml:space="preserve">Set up the autoload singletons listed in Technical Architecture §4 as empty stub scripts first, then fill them in per phase below.</w:t>
      </w:r>
    </w:p>
    <w:p>
      <w:pPr>
        <w:pStyle w:val="ListParagraph"/>
        <w:numPr>
          <w:ilvl w:val="0"/>
          <w:numId w:val="2"/>
        </w:numPr>
        <w:spacing w:after="60"/>
      </w:pPr>
      <w:r>
        <w:t xml:space="preserve">Initialize git; commit after every phase passes its acceptance criteria, not mid-phase.</w:t>
      </w:r>
    </w:p>
    <w:p>
      <w:pPr>
        <w:pStyle w:val="Heading1"/>
        <w:spacing w:after="150" w:before="300"/>
      </w:pPr>
      <w:r>
        <w:t xml:space="preserve">3. Build Phases</w:t>
      </w:r>
    </w:p>
    <w:p>
      <w:pPr>
        <w:spacing w:after="120"/>
      </w:pPr>
      <w:r>
        <w:t xml:space="preserve">Build in this order. Each phase should be independently playable/verifiable before moving to the next — do not parallelize phases.</w:t>
      </w:r>
    </w:p>
    <w:p>
      <w:pPr>
        <w:pStyle w:val="Heading2"/>
        <w:spacing w:after="120" w:before="250"/>
      </w:pPr>
      <w:r>
        <w:t xml:space="preserve">Phase 0 — Skeleton</w:t>
      </w:r>
    </w:p>
    <w:p>
      <w:pPr>
        <w:pStyle w:val="ListParagraph"/>
        <w:numPr>
          <w:ilvl w:val="0"/>
          <w:numId w:val="3"/>
        </w:numPr>
        <w:spacing w:after="60"/>
      </w:pPr>
      <w:r>
        <w:t xml:space="preserve">Boot scene → Main Menu → empty Arena scene → Run Summary → back to Main Menu, with no real gameplay yet.</w:t>
      </w:r>
    </w:p>
    <w:p>
      <w:pPr>
        <w:pStyle w:val="ListParagraph"/>
        <w:numPr>
          <w:ilvl w:val="0"/>
          <w:numId w:val="3"/>
        </w:numPr>
        <w:spacing w:after="60"/>
      </w:pPr>
      <w:r>
        <w:t xml:space="preserve">SaveManager reads/writes the schema in Technical Architecture §5 with placeholder values.</w:t>
      </w:r>
    </w:p>
    <w:p>
      <w:pPr>
        <w:pStyle w:val="ListParagraph"/>
        <w:numPr>
          <w:ilvl w:val="0"/>
          <w:numId w:val="3"/>
        </w:numPr>
        <w:spacing w:after="60"/>
      </w:pPr>
      <w:r>
        <w:t xml:space="preserve">Acceptance: can navigate the full screen loop on a device/emulator without crashing.</w:t>
      </w:r>
    </w:p>
    <w:p>
      <w:pPr>
        <w:pStyle w:val="Heading2"/>
        <w:spacing w:after="120" w:before="250"/>
      </w:pPr>
      <w:r>
        <w:t xml:space="preserve">Phase 1 — Core Combat Loop</w:t>
      </w:r>
    </w:p>
    <w:p>
      <w:pPr>
        <w:pStyle w:val="ListParagraph"/>
        <w:numPr>
          <w:ilvl w:val="0"/>
          <w:numId w:val="3"/>
        </w:numPr>
        <w:spacing w:after="60"/>
      </w:pPr>
      <w:r>
        <w:t xml:space="preserve">Implement Tower.gd and Enemy.gd base classes, one concrete tower (Physical tier 1) and one concrete enemy (Grunt) from the Feature Spec tables.</w:t>
      </w:r>
    </w:p>
    <w:p>
      <w:pPr>
        <w:pStyle w:val="ListParagraph"/>
        <w:numPr>
          <w:ilvl w:val="0"/>
          <w:numId w:val="3"/>
        </w:numPr>
        <w:spacing w:after="60"/>
      </w:pPr>
      <w:r>
        <w:t xml:space="preserve">Path-following enemy movement along the arena's fixed path (Feature Spec §1).</w:t>
      </w:r>
    </w:p>
    <w:p>
      <w:pPr>
        <w:pStyle w:val="ListParagraph"/>
        <w:numPr>
          <w:ilvl w:val="0"/>
          <w:numId w:val="3"/>
        </w:numPr>
        <w:spacing w:after="60"/>
      </w:pPr>
      <w:r>
        <w:t xml:space="preserve">Tower targeting, projectile spawn, damage application, enemy death, Ward Stone HP loss on leak.</w:t>
      </w:r>
    </w:p>
    <w:p>
      <w:pPr>
        <w:pStyle w:val="ListParagraph"/>
        <w:numPr>
          <w:ilvl w:val="0"/>
          <w:numId w:val="3"/>
        </w:numPr>
        <w:spacing w:after="60"/>
      </w:pPr>
      <w:r>
        <w:t xml:space="preserve">Acceptance: a single enemy walks the path, a single placed tower damages and can kill it, Ward Stone HP drops if it isn't killed in time.</w:t>
      </w:r>
    </w:p>
    <w:p>
      <w:pPr>
        <w:pStyle w:val="Heading2"/>
        <w:spacing w:after="120" w:before="250"/>
      </w:pPr>
      <w:r>
        <w:t xml:space="preserve">Phase 2 — Wave System</w:t>
      </w:r>
    </w:p>
    <w:p>
      <w:pPr>
        <w:pStyle w:val="ListParagraph"/>
        <w:numPr>
          <w:ilvl w:val="0"/>
          <w:numId w:val="3"/>
        </w:numPr>
        <w:spacing w:after="60"/>
      </w:pPr>
      <w:r>
        <w:t xml:space="preserve">Implement WaveDirector reading WaveTable.tres, spawning per Feature Spec §2.</w:t>
      </w:r>
    </w:p>
    <w:p>
      <w:pPr>
        <w:pStyle w:val="ListParagraph"/>
        <w:numPr>
          <w:ilvl w:val="0"/>
          <w:numId w:val="3"/>
        </w:numPr>
        <w:spacing w:after="60"/>
      </w:pPr>
      <w:r>
        <w:t xml:space="preserve">Gold economy: kill rewards, tower purchase costs, tower upgrade costs (Feature Spec §3).</w:t>
      </w:r>
    </w:p>
    <w:p>
      <w:pPr>
        <w:pStyle w:val="ListParagraph"/>
        <w:numPr>
          <w:ilvl w:val="0"/>
          <w:numId w:val="3"/>
        </w:numPr>
        <w:spacing w:after="60"/>
      </w:pPr>
      <w:r>
        <w:t xml:space="preserve">Wave-clear → Draft overlay offering 3 random upgrades (Feature Spec §5); picking one applies its effect immediately.</w:t>
      </w:r>
    </w:p>
    <w:p>
      <w:pPr>
        <w:pStyle w:val="ListParagraph"/>
        <w:numPr>
          <w:ilvl w:val="0"/>
          <w:numId w:val="3"/>
        </w:numPr>
        <w:spacing w:after="60"/>
      </w:pPr>
      <w:r>
        <w:t xml:space="preserve">Acceptance: can play from wave 1 to a Ward Stone loss across at least 10 waves with visible difficulty increase.</w:t>
      </w:r>
    </w:p>
    <w:p>
      <w:pPr>
        <w:pStyle w:val="Heading2"/>
        <w:spacing w:after="120" w:before="250"/>
      </w:pPr>
      <w:r>
        <w:t xml:space="preserve">Phase 3 — Full Tower &amp; Enemy Roster</w:t>
      </w:r>
    </w:p>
    <w:p>
      <w:pPr>
        <w:pStyle w:val="ListParagraph"/>
        <w:numPr>
          <w:ilvl w:val="0"/>
          <w:numId w:val="3"/>
        </w:numPr>
        <w:spacing w:after="60"/>
      </w:pPr>
      <w:r>
        <w:t xml:space="preserve">All 9 tower types × 3 tiers, all 12 enemy archetypes, all 3 rune-element matchups (Feature Spec §4).</w:t>
      </w:r>
    </w:p>
    <w:p>
      <w:pPr>
        <w:pStyle w:val="ListParagraph"/>
        <w:numPr>
          <w:ilvl w:val="0"/>
          <w:numId w:val="3"/>
        </w:numPr>
        <w:spacing w:after="60"/>
      </w:pPr>
      <w:r>
        <w:t xml:space="preserve">Acceptance: every tower id and enemy id in the Feature Spec tables exists as a working resource + scene.</w:t>
      </w:r>
    </w:p>
    <w:p>
      <w:pPr>
        <w:pStyle w:val="Heading2"/>
        <w:spacing w:after="120" w:before="250"/>
      </w:pPr>
      <w:r>
        <w:t xml:space="preserve">Phase 4 — Bosses &amp; Elite Waves</w:t>
      </w:r>
    </w:p>
    <w:p>
      <w:pPr>
        <w:pStyle w:val="ListParagraph"/>
        <w:numPr>
          <w:ilvl w:val="0"/>
          <w:numId w:val="3"/>
        </w:numPr>
        <w:spacing w:after="60"/>
      </w:pPr>
      <w:r>
        <w:t xml:space="preserve">Elite wave modifier (every 5th wave) and the 3 boss encounters (waves 10/20/30, cycling and scaling beyond that per Feature Spec §2.5).</w:t>
      </w:r>
    </w:p>
    <w:p>
      <w:pPr>
        <w:pStyle w:val="ListParagraph"/>
        <w:numPr>
          <w:ilvl w:val="0"/>
          <w:numId w:val="3"/>
        </w:numPr>
        <w:spacing w:after="60"/>
      </w:pPr>
      <w:r>
        <w:t xml:space="preserve">Acceptance: reaching wave 10 always triggers Boss A with its documented attack pattern.</w:t>
      </w:r>
    </w:p>
    <w:p>
      <w:pPr>
        <w:pStyle w:val="Heading2"/>
        <w:spacing w:after="120" w:before="250"/>
      </w:pPr>
      <w:r>
        <w:t xml:space="preserve">Phase 5 — Meta-Progression</w:t>
      </w:r>
    </w:p>
    <w:p>
      <w:pPr>
        <w:pStyle w:val="ListParagraph"/>
        <w:numPr>
          <w:ilvl w:val="0"/>
          <w:numId w:val="3"/>
        </w:numPr>
        <w:spacing w:after="60"/>
      </w:pPr>
      <w:r>
        <w:t xml:space="preserve">Keep Hub screen: spend Runestones on tower unlocks, account level perks, cosmetic skins per Feature Spec §6.</w:t>
      </w:r>
    </w:p>
    <w:p>
      <w:pPr>
        <w:pStyle w:val="ListParagraph"/>
        <w:numPr>
          <w:ilvl w:val="0"/>
          <w:numId w:val="3"/>
        </w:numPr>
        <w:spacing w:after="60"/>
      </w:pPr>
      <w:r>
        <w:t xml:space="preserve">Account XP/level gain on run end; unlocks gate certain towers/perks per the level table.</w:t>
      </w:r>
    </w:p>
    <w:p>
      <w:pPr>
        <w:pStyle w:val="ListParagraph"/>
        <w:numPr>
          <w:ilvl w:val="0"/>
          <w:numId w:val="3"/>
        </w:numPr>
        <w:spacing w:after="60"/>
      </w:pPr>
      <w:r>
        <w:t xml:space="preserve">Acceptance: Runestones earned in a run persist and are spendable in Keep Hub after returning to Main Menu.</w:t>
      </w:r>
    </w:p>
    <w:p>
      <w:pPr>
        <w:pStyle w:val="Heading2"/>
        <w:spacing w:after="120" w:before="250"/>
      </w:pPr>
      <w:r>
        <w:t xml:space="preserve">Phase 6 — Daily Challenge &amp; Retention Hooks</w:t>
      </w:r>
    </w:p>
    <w:p>
      <w:pPr>
        <w:pStyle w:val="ListParagraph"/>
        <w:numPr>
          <w:ilvl w:val="0"/>
          <w:numId w:val="3"/>
        </w:numPr>
        <w:spacing w:after="60"/>
      </w:pPr>
      <w:r>
        <w:t xml:space="preserve">Seeded RNG for the Daily Challenge (same seed → identical wave/draft sequence for all players that day).</w:t>
      </w:r>
    </w:p>
    <w:p>
      <w:pPr>
        <w:pStyle w:val="ListParagraph"/>
        <w:numPr>
          <w:ilvl w:val="0"/>
          <w:numId w:val="3"/>
        </w:numPr>
        <w:spacing w:after="60"/>
      </w:pPr>
      <w:r>
        <w:t xml:space="preserve">Local best-wave tracking, streak counter, rank badge display (Medals/Ranks Pack) per account level milestones.</w:t>
      </w:r>
    </w:p>
    <w:p>
      <w:pPr>
        <w:pStyle w:val="ListParagraph"/>
        <w:numPr>
          <w:ilvl w:val="0"/>
          <w:numId w:val="3"/>
        </w:numPr>
        <w:spacing w:after="60"/>
      </w:pPr>
      <w:r>
        <w:t xml:space="preserve">Acceptance: replaying the Daily Challenge on the same date reproduces the same enemy/draft sequence.</w:t>
      </w:r>
    </w:p>
    <w:p>
      <w:pPr>
        <w:pStyle w:val="Heading2"/>
        <w:spacing w:after="120" w:before="250"/>
      </w:pPr>
      <w:r>
        <w:t xml:space="preserve">Phase 7 — Monetization</w:t>
      </w:r>
    </w:p>
    <w:p>
      <w:pPr>
        <w:pStyle w:val="ListParagraph"/>
        <w:numPr>
          <w:ilvl w:val="0"/>
          <w:numId w:val="3"/>
        </w:numPr>
        <w:spacing w:after="60"/>
      </w:pPr>
      <w:r>
        <w:t xml:space="preserve">Integrate AdMob per Pipeline/Integration Spec §4: rewarded video (currency double, one revive per run), interstitial on run end (capped), Remove Ads IAP.</w:t>
      </w:r>
    </w:p>
    <w:p>
      <w:pPr>
        <w:pStyle w:val="ListParagraph"/>
        <w:numPr>
          <w:ilvl w:val="0"/>
          <w:numId w:val="3"/>
        </w:numPr>
        <w:spacing w:after="60"/>
      </w:pPr>
      <w:r>
        <w:t xml:space="preserve">Acceptance: all ad calls degrade gracefully with no network / test-ad unit IDs during development.</w:t>
      </w:r>
    </w:p>
    <w:p>
      <w:pPr>
        <w:pStyle w:val="Heading2"/>
        <w:spacing w:after="120" w:before="250"/>
      </w:pPr>
      <w:r>
        <w:t xml:space="preserve">Phase 8 — Polish &amp; Store Readiness</w:t>
      </w:r>
    </w:p>
    <w:p>
      <w:pPr>
        <w:pStyle w:val="ListParagraph"/>
        <w:numPr>
          <w:ilvl w:val="0"/>
          <w:numId w:val="3"/>
        </w:numPr>
        <w:spacing w:after="60"/>
      </w:pPr>
      <w:r>
        <w:t xml:space="preserve">Audio wiring (Music Loops, Impact Sounds, UI Audio) per Pipeline/Integration Spec §3.</w:t>
      </w:r>
    </w:p>
    <w:p>
      <w:pPr>
        <w:pStyle w:val="ListParagraph"/>
        <w:numPr>
          <w:ilvl w:val="0"/>
          <w:numId w:val="3"/>
        </w:numPr>
        <w:spacing w:after="60"/>
      </w:pPr>
      <w:r>
        <w:t xml:space="preserve">Store listing assets (icon, feature graphic, screenshots) — generate from actual gameplay captures, not mockups.</w:t>
      </w:r>
    </w:p>
    <w:p>
      <w:pPr>
        <w:pStyle w:val="ListParagraph"/>
        <w:numPr>
          <w:ilvl w:val="0"/>
          <w:numId w:val="3"/>
        </w:numPr>
        <w:spacing w:after="60"/>
      </w:pPr>
      <w:r>
        <w:t xml:space="preserve">Acceptance: a signed AAB installs and plays end-to-end on a physical or emulated device with no debug-only code paths active.</w:t>
      </w:r>
    </w:p>
    <w:p>
      <w:pPr>
        <w:pStyle w:val="Heading1"/>
        <w:spacing w:after="150" w:before="300"/>
      </w:pPr>
      <w:r>
        <w:t xml:space="preserve">4. Coding Conventions</w:t>
      </w:r>
    </w:p>
    <w:p>
      <w:pPr>
        <w:pStyle w:val="ListParagraph"/>
        <w:numPr>
          <w:ilvl w:val="0"/>
          <w:numId w:val="3"/>
        </w:numPr>
        <w:spacing w:after="60"/>
      </w:pPr>
      <w:r>
        <w:t xml:space="preserve">GDScript, static typing wherever the engine supports it (func foo(x: int) -&gt; void:).</w:t>
      </w:r>
    </w:p>
    <w:p>
      <w:pPr>
        <w:pStyle w:val="ListParagraph"/>
        <w:numPr>
          <w:ilvl w:val="0"/>
          <w:numId w:val="3"/>
        </w:numPr>
        <w:spacing w:after="60"/>
      </w:pPr>
      <w:r>
        <w:t xml:space="preserve">One scene + one script per tower/enemy archetype, inheriting a shared base — never a single giant switch statement over ids.</w:t>
      </w:r>
    </w:p>
    <w:p>
      <w:pPr>
        <w:pStyle w:val="ListParagraph"/>
        <w:numPr>
          <w:ilvl w:val="0"/>
          <w:numId w:val="3"/>
        </w:numPr>
        <w:spacing w:after="60"/>
      </w:pPr>
      <w:r>
        <w:t xml:space="preserve">No gameplay tuning numbers hardcoded in .gd files — they belong in the .tres resources per Technical Architecture §3.</w:t>
      </w:r>
    </w:p>
    <w:p>
      <w:pPr>
        <w:pStyle w:val="ListParagraph"/>
        <w:numPr>
          <w:ilvl w:val="0"/>
          <w:numId w:val="3"/>
        </w:numPr>
        <w:spacing w:after="60"/>
      </w:pPr>
      <w:r>
        <w:t xml:space="preserve">Signals over polling for cross-system communication (RunManager, WaveDirector, UI all react to signals).</w:t>
      </w:r>
    </w:p>
    <w:p>
      <w:pPr>
        <w:pStyle w:val="Heading1"/>
        <w:spacing w:after="150" w:before="300"/>
      </w:pPr>
      <w:r>
        <w:t xml:space="preserve">5. Per-Phase Manual Test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5B2A86" w:val="clear"/>
            <w:tcMar>
              <w:top w:type="dxa" w:w="80"/>
              <w:left w:type="dxa" w:w="100"/>
              <w:bottom w:type="dxa" w:w="80"/>
              <w:right w:type="dxa" w:w="100"/>
            </w:tcMar>
          </w:tcPr>
          <w:p>
            <w:r>
              <w:rPr>
                <w:b/>
                <w:bCs/>
                <w:color w:val="FFFFFF"/>
                <w:sz w:val="20"/>
                <w:szCs w:val="20"/>
              </w:rPr>
              <w:t xml:space="preserve">Phase</w:t>
            </w:r>
          </w:p>
        </w:tc>
        <w:tc>
          <w:tcPr>
            <w:tcW w:type="dxa" w:w="7600"/>
            <w:shd w:fill="5B2A86" w:val="clear"/>
            <w:tcMar>
              <w:top w:type="dxa" w:w="80"/>
              <w:left w:type="dxa" w:w="100"/>
              <w:bottom w:type="dxa" w:w="80"/>
              <w:right w:type="dxa" w:w="100"/>
            </w:tcMar>
          </w:tcPr>
          <w:p>
            <w:r>
              <w:rPr>
                <w:b/>
                <w:bCs/>
                <w:color w:val="FFFFFF"/>
                <w:sz w:val="20"/>
                <w:szCs w:val="20"/>
              </w:rPr>
              <w:t xml:space="preserve">Manual check (should take &lt;10 min)</w:t>
            </w:r>
          </w:p>
        </w:tc>
      </w:tr>
      <w:tr>
        <w:tc>
          <w:tcPr>
            <w:tcW w:type="dxa" w:w="1400"/>
            <w:tcMar>
              <w:top w:type="dxa" w:w="80"/>
              <w:left w:type="dxa" w:w="100"/>
              <w:bottom w:type="dxa" w:w="80"/>
              <w:right w:type="dxa" w:w="100"/>
            </w:tcMar>
          </w:tcPr>
          <w:p>
            <w:r>
              <w:rPr>
                <w:b w:val="false"/>
                <w:bCs w:val="false"/>
                <w:color w:val="000000"/>
                <w:sz w:val="20"/>
                <w:szCs w:val="20"/>
              </w:rPr>
              <w:t xml:space="preserve">0</w:t>
            </w:r>
          </w:p>
        </w:tc>
        <w:tc>
          <w:tcPr>
            <w:tcW w:type="dxa" w:w="7600"/>
            <w:tcMar>
              <w:top w:type="dxa" w:w="80"/>
              <w:left w:type="dxa" w:w="100"/>
              <w:bottom w:type="dxa" w:w="80"/>
              <w:right w:type="dxa" w:w="100"/>
            </w:tcMar>
          </w:tcPr>
          <w:p>
            <w:r>
              <w:rPr>
                <w:b w:val="false"/>
                <w:bCs w:val="false"/>
                <w:color w:val="000000"/>
                <w:sz w:val="20"/>
                <w:szCs w:val="20"/>
              </w:rPr>
              <w:t xml:space="preserve">Full menu navigation loop, no crash, no dead-end screen</w:t>
            </w:r>
          </w:p>
        </w:tc>
      </w:tr>
      <w:tr>
        <w:tc>
          <w:tcPr>
            <w:tcW w:type="dxa" w:w="1400"/>
            <w:tcMar>
              <w:top w:type="dxa" w:w="80"/>
              <w:left w:type="dxa" w:w="100"/>
              <w:bottom w:type="dxa" w:w="80"/>
              <w:right w:type="dxa" w:w="100"/>
            </w:tcMar>
          </w:tcPr>
          <w:p>
            <w:r>
              <w:rPr>
                <w:b w:val="false"/>
                <w:bCs w:val="false"/>
                <w:color w:val="000000"/>
                <w:sz w:val="20"/>
                <w:szCs w:val="20"/>
              </w:rPr>
              <w:t xml:space="preserve">1</w:t>
            </w:r>
          </w:p>
        </w:tc>
        <w:tc>
          <w:tcPr>
            <w:tcW w:type="dxa" w:w="7600"/>
            <w:tcMar>
              <w:top w:type="dxa" w:w="80"/>
              <w:left w:type="dxa" w:w="100"/>
              <w:bottom w:type="dxa" w:w="80"/>
              <w:right w:type="dxa" w:w="100"/>
            </w:tcMar>
          </w:tcPr>
          <w:p>
            <w:r>
              <w:rPr>
                <w:b w:val="false"/>
                <w:bCs w:val="false"/>
                <w:color w:val="000000"/>
                <w:sz w:val="20"/>
                <w:szCs w:val="20"/>
              </w:rPr>
              <w:t xml:space="preserve">One tower kills one enemy before it reaches the Ward Stone; Ward Stone takes damage if it doesn't</w:t>
            </w:r>
          </w:p>
        </w:tc>
      </w:tr>
      <w:tr>
        <w:tc>
          <w:tcPr>
            <w:tcW w:type="dxa" w:w="1400"/>
            <w:tcMar>
              <w:top w:type="dxa" w:w="80"/>
              <w:left w:type="dxa" w:w="100"/>
              <w:bottom w:type="dxa" w:w="80"/>
              <w:right w:type="dxa" w:w="100"/>
            </w:tcMar>
          </w:tcPr>
          <w:p>
            <w:r>
              <w:rPr>
                <w:b w:val="false"/>
                <w:bCs w:val="false"/>
                <w:color w:val="000000"/>
                <w:sz w:val="20"/>
                <w:szCs w:val="20"/>
              </w:rPr>
              <w:t xml:space="preserve">2</w:t>
            </w:r>
          </w:p>
        </w:tc>
        <w:tc>
          <w:tcPr>
            <w:tcW w:type="dxa" w:w="7600"/>
            <w:tcMar>
              <w:top w:type="dxa" w:w="80"/>
              <w:left w:type="dxa" w:w="100"/>
              <w:bottom w:type="dxa" w:w="80"/>
              <w:right w:type="dxa" w:w="100"/>
            </w:tcMar>
          </w:tcPr>
          <w:p>
            <w:r>
              <w:rPr>
                <w:b w:val="false"/>
                <w:bCs w:val="false"/>
                <w:color w:val="000000"/>
                <w:sz w:val="20"/>
                <w:szCs w:val="20"/>
              </w:rPr>
              <w:t xml:space="preserve">Play 10 waves; gold earned matches Feature Spec §3 formula for at least 2 sampled waves</w:t>
            </w:r>
          </w:p>
        </w:tc>
      </w:tr>
      <w:tr>
        <w:tc>
          <w:tcPr>
            <w:tcW w:type="dxa" w:w="1400"/>
            <w:tcMar>
              <w:top w:type="dxa" w:w="80"/>
              <w:left w:type="dxa" w:w="100"/>
              <w:bottom w:type="dxa" w:w="80"/>
              <w:right w:type="dxa" w:w="100"/>
            </w:tcMar>
          </w:tcPr>
          <w:p>
            <w:r>
              <w:rPr>
                <w:b w:val="false"/>
                <w:bCs w:val="false"/>
                <w:color w:val="000000"/>
                <w:sz w:val="20"/>
                <w:szCs w:val="20"/>
              </w:rPr>
              <w:t xml:space="preserve">3</w:t>
            </w:r>
          </w:p>
        </w:tc>
        <w:tc>
          <w:tcPr>
            <w:tcW w:type="dxa" w:w="7600"/>
            <w:tcMar>
              <w:top w:type="dxa" w:w="80"/>
              <w:left w:type="dxa" w:w="100"/>
              <w:bottom w:type="dxa" w:w="80"/>
              <w:right w:type="dxa" w:w="100"/>
            </w:tcMar>
          </w:tcPr>
          <w:p>
            <w:r>
              <w:rPr>
                <w:b w:val="false"/>
                <w:bCs w:val="false"/>
                <w:color w:val="000000"/>
                <w:sz w:val="20"/>
                <w:szCs w:val="20"/>
              </w:rPr>
              <w:t xml:space="preserve">Spawn each of the 12 enemy ids and each of the 9 tower ids at least once via a debug menu</w:t>
            </w:r>
          </w:p>
        </w:tc>
      </w:tr>
      <w:tr>
        <w:tc>
          <w:tcPr>
            <w:tcW w:type="dxa" w:w="1400"/>
            <w:tcMar>
              <w:top w:type="dxa" w:w="80"/>
              <w:left w:type="dxa" w:w="100"/>
              <w:bottom w:type="dxa" w:w="80"/>
              <w:right w:type="dxa" w:w="100"/>
            </w:tcMar>
          </w:tcPr>
          <w:p>
            <w:r>
              <w:rPr>
                <w:b w:val="false"/>
                <w:bCs w:val="false"/>
                <w:color w:val="000000"/>
                <w:sz w:val="20"/>
                <w:szCs w:val="20"/>
              </w:rPr>
              <w:t xml:space="preserve">4</w:t>
            </w:r>
          </w:p>
        </w:tc>
        <w:tc>
          <w:tcPr>
            <w:tcW w:type="dxa" w:w="7600"/>
            <w:tcMar>
              <w:top w:type="dxa" w:w="80"/>
              <w:left w:type="dxa" w:w="100"/>
              <w:bottom w:type="dxa" w:w="80"/>
              <w:right w:type="dxa" w:w="100"/>
            </w:tcMar>
          </w:tcPr>
          <w:p>
            <w:r>
              <w:rPr>
                <w:b w:val="false"/>
                <w:bCs w:val="false"/>
                <w:color w:val="000000"/>
                <w:sz w:val="20"/>
                <w:szCs w:val="20"/>
              </w:rPr>
              <w:t xml:space="preserve">Reach wave 10, confirm Boss A pattern matches Feature Spec §2.5 description</w:t>
            </w:r>
          </w:p>
        </w:tc>
      </w:tr>
      <w:tr>
        <w:tc>
          <w:tcPr>
            <w:tcW w:type="dxa" w:w="1400"/>
            <w:tcMar>
              <w:top w:type="dxa" w:w="80"/>
              <w:left w:type="dxa" w:w="100"/>
              <w:bottom w:type="dxa" w:w="80"/>
              <w:right w:type="dxa" w:w="100"/>
            </w:tcMar>
          </w:tcPr>
          <w:p>
            <w:r>
              <w:rPr>
                <w:b w:val="false"/>
                <w:bCs w:val="false"/>
                <w:color w:val="000000"/>
                <w:sz w:val="20"/>
                <w:szCs w:val="20"/>
              </w:rPr>
              <w:t xml:space="preserve">5</w:t>
            </w:r>
          </w:p>
        </w:tc>
        <w:tc>
          <w:tcPr>
            <w:tcW w:type="dxa" w:w="7600"/>
            <w:tcMar>
              <w:top w:type="dxa" w:w="80"/>
              <w:left w:type="dxa" w:w="100"/>
              <w:bottom w:type="dxa" w:w="80"/>
              <w:right w:type="dxa" w:w="100"/>
            </w:tcMar>
          </w:tcPr>
          <w:p>
            <w:r>
              <w:rPr>
                <w:b w:val="false"/>
                <w:bCs w:val="false"/>
                <w:color w:val="000000"/>
                <w:sz w:val="20"/>
                <w:szCs w:val="20"/>
              </w:rPr>
              <w:t xml:space="preserve">Earn Runestones, close app, reopen, confirm balance persisted, spend on one unlock</w:t>
            </w:r>
          </w:p>
        </w:tc>
      </w:tr>
      <w:tr>
        <w:tc>
          <w:tcPr>
            <w:tcW w:type="dxa" w:w="1400"/>
            <w:tcMar>
              <w:top w:type="dxa" w:w="80"/>
              <w:left w:type="dxa" w:w="100"/>
              <w:bottom w:type="dxa" w:w="80"/>
              <w:right w:type="dxa" w:w="100"/>
            </w:tcMar>
          </w:tcPr>
          <w:p>
            <w:r>
              <w:rPr>
                <w:b w:val="false"/>
                <w:bCs w:val="false"/>
                <w:color w:val="000000"/>
                <w:sz w:val="20"/>
                <w:szCs w:val="20"/>
              </w:rPr>
              <w:t xml:space="preserve">6</w:t>
            </w:r>
          </w:p>
        </w:tc>
        <w:tc>
          <w:tcPr>
            <w:tcW w:type="dxa" w:w="7600"/>
            <w:tcMar>
              <w:top w:type="dxa" w:w="80"/>
              <w:left w:type="dxa" w:w="100"/>
              <w:bottom w:type="dxa" w:w="80"/>
              <w:right w:type="dxa" w:w="100"/>
            </w:tcMar>
          </w:tcPr>
          <w:p>
            <w:r>
              <w:rPr>
                <w:b w:val="false"/>
                <w:bCs w:val="false"/>
                <w:color w:val="000000"/>
                <w:sz w:val="20"/>
                <w:szCs w:val="20"/>
              </w:rPr>
              <w:t xml:space="preserve">Play Daily Challenge twice on the same date, confirm identical enemy sequence</w:t>
            </w:r>
          </w:p>
        </w:tc>
      </w:tr>
      <w:tr>
        <w:tc>
          <w:tcPr>
            <w:tcW w:type="dxa" w:w="1400"/>
            <w:tcMar>
              <w:top w:type="dxa" w:w="80"/>
              <w:left w:type="dxa" w:w="100"/>
              <w:bottom w:type="dxa" w:w="80"/>
              <w:right w:type="dxa" w:w="100"/>
            </w:tcMar>
          </w:tcPr>
          <w:p>
            <w:r>
              <w:rPr>
                <w:b w:val="false"/>
                <w:bCs w:val="false"/>
                <w:color w:val="000000"/>
                <w:sz w:val="20"/>
                <w:szCs w:val="20"/>
              </w:rPr>
              <w:t xml:space="preserve">7</w:t>
            </w:r>
          </w:p>
        </w:tc>
        <w:tc>
          <w:tcPr>
            <w:tcW w:type="dxa" w:w="7600"/>
            <w:tcMar>
              <w:top w:type="dxa" w:w="80"/>
              <w:left w:type="dxa" w:w="100"/>
              <w:bottom w:type="dxa" w:w="80"/>
              <w:right w:type="dxa" w:w="100"/>
            </w:tcMar>
          </w:tcPr>
          <w:p>
            <w:r>
              <w:rPr>
                <w:b w:val="false"/>
                <w:bCs w:val="false"/>
                <w:color w:val="000000"/>
                <w:sz w:val="20"/>
                <w:szCs w:val="20"/>
              </w:rPr>
              <w:t xml:space="preserve">Trigger rewarded ad flow with a test ad unit; confirm no crash on ad-unavailable</w:t>
            </w:r>
          </w:p>
        </w:tc>
      </w:tr>
      <w:tr>
        <w:tc>
          <w:tcPr>
            <w:tcW w:type="dxa" w:w="1400"/>
            <w:tcMar>
              <w:top w:type="dxa" w:w="80"/>
              <w:left w:type="dxa" w:w="100"/>
              <w:bottom w:type="dxa" w:w="80"/>
              <w:right w:type="dxa" w:w="100"/>
            </w:tcMar>
          </w:tcPr>
          <w:p>
            <w:r>
              <w:rPr>
                <w:b w:val="false"/>
                <w:bCs w:val="false"/>
                <w:color w:val="000000"/>
                <w:sz w:val="20"/>
                <w:szCs w:val="20"/>
              </w:rPr>
              <w:t xml:space="preserve">8</w:t>
            </w:r>
          </w:p>
        </w:tc>
        <w:tc>
          <w:tcPr>
            <w:tcW w:type="dxa" w:w="7600"/>
            <w:tcMar>
              <w:top w:type="dxa" w:w="80"/>
              <w:left w:type="dxa" w:w="100"/>
              <w:bottom w:type="dxa" w:w="80"/>
              <w:right w:type="dxa" w:w="100"/>
            </w:tcMar>
          </w:tcPr>
          <w:p>
            <w:r>
              <w:rPr>
                <w:b w:val="false"/>
                <w:bCs w:val="false"/>
                <w:color w:val="000000"/>
                <w:sz w:val="20"/>
                <w:szCs w:val="20"/>
              </w:rPr>
              <w:t xml:space="preserve">Install signed AAB via Play Console internal testing track on one physical device</w:t>
            </w:r>
          </w:p>
        </w:tc>
      </w:tr>
    </w:tbl>
    <w:p>
      <w:pPr>
        <w:pStyle w:val="Heading1"/>
        <w:spacing w:after="150" w:before="300"/>
      </w:pPr>
      <w:r>
        <w:t xml:space="preserve">6. What "No Gaps" Means Here</w:t>
      </w:r>
    </w:p>
    <w:p>
      <w:pPr>
        <w:spacing w:after="120"/>
      </w:pPr>
      <w:r>
        <w:t xml:space="preserve">Every tower, enemy, wave-scaling formula, draft offer weight, currency amount, and unlock cost referenced above has a concrete value in the Feature Spec (§2–§6). If an implementation question comes up that isn't answered by a value in that document, treat it as a spec bug to flag rather than a judgment call to make silently — the tables are meant to be exhaustive, not illustrative.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2026-08-30T14:12:37.559Z</dcterms:created>
  <dcterms:modified xsi:type="dcterms:W3CDTF">2026-08-30T14:12:37.560Z</dcterms:modified>
</cp:coreProperties>
</file>

<file path=docProps/custom.xml><?xml version="1.0" encoding="utf-8"?>
<Properties xmlns="http://schemas.openxmlformats.org/officeDocument/2006/custom-properties" xmlns:vt="http://schemas.openxmlformats.org/officeDocument/2006/docPropsVTypes"/>
</file>