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B2A86"/>
          <w:sz w:val="64"/>
          <w:szCs w:val="64"/>
        </w:rPr>
        <w:t xml:space="preserve">WARDKEEP</w:t>
      </w:r>
    </w:p>
    <w:p>
      <w:pPr>
        <w:spacing w:after="400" w:before="200"/>
        <w:jc w:val="center"/>
      </w:pPr>
      <w:r>
        <w:rPr>
          <w:b/>
          <w:bCs/>
          <w:color w:val="333333"/>
          <w:sz w:val="36"/>
          <w:szCs w:val="36"/>
        </w:rPr>
        <w:t xml:space="preserve">Pipeline / Integration Spec</w:t>
      </w:r>
    </w:p>
    <w:p>
      <w:pPr>
        <w:spacing w:after="800"/>
        <w:jc w:val="center"/>
      </w:pPr>
      <w:r>
        <w:rPr>
          <w:i/>
          <w:iCs/>
          <w:color w:val="666666"/>
          <w:sz w:val="24"/>
          <w:szCs w:val="24"/>
        </w:rPr>
        <w:t xml:space="preserve">Asset manifest, import settings, ads, build &amp; release</w:t>
      </w:r>
    </w:p>
    <w:p>
      <w:pPr>
        <w:jc w:val="center"/>
      </w:pPr>
      <w:r>
        <w:rPr>
          <w:color w:val="888888"/>
          <w:sz w:val="20"/>
          <w:szCs w:val="20"/>
        </w:rPr>
        <w:t xml:space="preserve">Document 6 of 7 — NovelForge project suite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Source Material</w:t>
      </w:r>
    </w:p>
    <w:p>
      <w:pPr>
        <w:spacing w:after="120"/>
      </w:pPr>
      <w:r>
        <w:t xml:space="preserve">All art and audio comes from the owned Game_Assets.zip pack library (a broad Kenney-style megapack covering dozens of genres). This spec lists the exact subfolders WARDKEEP actually uses, so only that subset is ever imported — the source zip is several gigabytes and must never be copied into the Godot project wholesale (see Technical Architecture §6 for the size budget this protects).</w:t>
      </w:r>
    </w:p>
    <w:p>
      <w:pPr>
        <w:pStyle w:val="Heading1"/>
        <w:spacing w:after="150" w:before="300"/>
      </w:pPr>
      <w:r>
        <w:t xml:space="preserve">2. Asset Manifest</w:t>
      </w:r>
    </w:p>
    <w:p>
      <w:pPr>
        <w:pStyle w:val="Heading2"/>
        <w:spacing w:after="120" w:before="250"/>
      </w:pPr>
      <w:r>
        <w:t xml:space="preserve">2.1 Environment /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5B2A86" w:val="clear"/>
            <w:tcMar>
              <w:top w:type="dxa" w:w="80"/>
              <w:left w:type="dxa" w:w="100"/>
              <w:bottom w:type="dxa" w:w="80"/>
              <w:right w:type="dxa" w:w="100"/>
            </w:tcMar>
          </w:tcPr>
          <w:p>
            <w:r>
              <w:rPr>
                <w:b/>
                <w:bCs/>
                <w:color w:val="FFFFFF"/>
                <w:sz w:val="20"/>
                <w:szCs w:val="20"/>
              </w:rPr>
              <w:t xml:space="preserve">Source folder</w:t>
            </w:r>
          </w:p>
        </w:tc>
        <w:tc>
          <w:tcPr>
            <w:tcW w:type="dxa" w:w="4400"/>
            <w:shd w:fill="5B2A86" w:val="clear"/>
            <w:tcMar>
              <w:top w:type="dxa" w:w="80"/>
              <w:left w:type="dxa" w:w="100"/>
              <w:bottom w:type="dxa" w:w="80"/>
              <w:right w:type="dxa" w:w="100"/>
            </w:tcMar>
          </w:tcPr>
          <w:p>
            <w:r>
              <w:rPr>
                <w:b/>
                <w:bCs/>
                <w:color w:val="FFFFFF"/>
                <w:sz w:val="20"/>
                <w:szCs w:val="20"/>
              </w:rPr>
              <w:t xml:space="preserve">Used for</w:t>
            </w:r>
          </w:p>
        </w:tc>
      </w:tr>
      <w:tr>
        <w:tc>
          <w:tcPr>
            <w:tcW w:type="dxa" w:w="4600"/>
            <w:tcMar>
              <w:top w:type="dxa" w:w="80"/>
              <w:left w:type="dxa" w:w="100"/>
              <w:bottom w:type="dxa" w:w="80"/>
              <w:right w:type="dxa" w:w="100"/>
            </w:tcMar>
          </w:tcPr>
          <w:p>
            <w:r>
              <w:rPr>
                <w:b w:val="false"/>
                <w:bCs w:val="false"/>
                <w:color w:val="000000"/>
                <w:sz w:val="20"/>
                <w:szCs w:val="20"/>
              </w:rPr>
              <w:t xml:space="preserve">2D assets/Tower Defense/Tilesheet/</w:t>
            </w:r>
          </w:p>
        </w:tc>
        <w:tc>
          <w:tcPr>
            <w:tcW w:type="dxa" w:w="4400"/>
            <w:tcMar>
              <w:top w:type="dxa" w:w="80"/>
              <w:left w:type="dxa" w:w="100"/>
              <w:bottom w:type="dxa" w:w="80"/>
              <w:right w:type="dxa" w:w="100"/>
            </w:tcMar>
          </w:tcPr>
          <w:p>
            <w:r>
              <w:rPr>
                <w:b w:val="false"/>
                <w:bCs w:val="false"/>
                <w:color w:val="000000"/>
                <w:sz w:val="20"/>
                <w:szCs w:val="20"/>
              </w:rPr>
              <w:t xml:space="preserve">Path tiles, build-tile highlight overlay</w:t>
            </w:r>
          </w:p>
        </w:tc>
      </w:tr>
      <w:tr>
        <w:tc>
          <w:tcPr>
            <w:tcW w:type="dxa" w:w="4600"/>
            <w:tcMar>
              <w:top w:type="dxa" w:w="80"/>
              <w:left w:type="dxa" w:w="100"/>
              <w:bottom w:type="dxa" w:w="80"/>
              <w:right w:type="dxa" w:w="100"/>
            </w:tcMar>
          </w:tcPr>
          <w:p>
            <w:r>
              <w:rPr>
                <w:b w:val="false"/>
                <w:bCs w:val="false"/>
                <w:color w:val="000000"/>
                <w:sz w:val="20"/>
                <w:szCs w:val="20"/>
              </w:rPr>
              <w:t xml:space="preserve">2D assets/Roguelike Dungeon Pack/Spritesheet/</w:t>
            </w:r>
          </w:p>
        </w:tc>
        <w:tc>
          <w:tcPr>
            <w:tcW w:type="dxa" w:w="4400"/>
            <w:tcMar>
              <w:top w:type="dxa" w:w="80"/>
              <w:left w:type="dxa" w:w="100"/>
              <w:bottom w:type="dxa" w:w="80"/>
              <w:right w:type="dxa" w:w="100"/>
            </w:tcMar>
          </w:tcPr>
          <w:p>
            <w:r>
              <w:rPr>
                <w:b w:val="false"/>
                <w:bCs w:val="false"/>
                <w:color w:val="000000"/>
                <w:sz w:val="20"/>
                <w:szCs w:val="20"/>
              </w:rPr>
              <w:t xml:space="preserve">Floor texture variation, decorative rubble/props</w:t>
            </w:r>
          </w:p>
        </w:tc>
      </w:tr>
    </w:tbl>
    <w:p>
      <w:pPr>
        <w:pStyle w:val="Heading2"/>
        <w:spacing w:after="120" w:before="250"/>
      </w:pPr>
      <w:r>
        <w:t xml:space="preserve">2.2 Towers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5B2A86" w:val="clear"/>
            <w:tcMar>
              <w:top w:type="dxa" w:w="80"/>
              <w:left w:type="dxa" w:w="100"/>
              <w:bottom w:type="dxa" w:w="80"/>
              <w:right w:type="dxa" w:w="100"/>
            </w:tcMar>
          </w:tcPr>
          <w:p>
            <w:r>
              <w:rPr>
                <w:b/>
                <w:bCs/>
                <w:color w:val="FFFFFF"/>
                <w:sz w:val="20"/>
                <w:szCs w:val="20"/>
              </w:rPr>
              <w:t xml:space="preserve">Source folder</w:t>
            </w:r>
          </w:p>
        </w:tc>
        <w:tc>
          <w:tcPr>
            <w:tcW w:type="dxa" w:w="4400"/>
            <w:shd w:fill="5B2A86" w:val="clear"/>
            <w:tcMar>
              <w:top w:type="dxa" w:w="80"/>
              <w:left w:type="dxa" w:w="100"/>
              <w:bottom w:type="dxa" w:w="80"/>
              <w:right w:type="dxa" w:w="100"/>
            </w:tcMar>
          </w:tcPr>
          <w:p>
            <w:r>
              <w:rPr>
                <w:b/>
                <w:bCs/>
                <w:color w:val="FFFFFF"/>
                <w:sz w:val="20"/>
                <w:szCs w:val="20"/>
              </w:rPr>
              <w:t xml:space="preserve">Used for</w:t>
            </w:r>
          </w:p>
        </w:tc>
      </w:tr>
      <w:tr>
        <w:tc>
          <w:tcPr>
            <w:tcW w:type="dxa" w:w="4600"/>
            <w:tcMar>
              <w:top w:type="dxa" w:w="80"/>
              <w:left w:type="dxa" w:w="100"/>
              <w:bottom w:type="dxa" w:w="80"/>
              <w:right w:type="dxa" w:w="100"/>
            </w:tcMar>
          </w:tcPr>
          <w:p>
            <w:r>
              <w:rPr>
                <w:b w:val="false"/>
                <w:bCs w:val="false"/>
                <w:color w:val="000000"/>
                <w:sz w:val="20"/>
                <w:szCs w:val="20"/>
              </w:rPr>
              <w:t xml:space="preserve">2D assets/RTS Medieval/Spritesheet/</w:t>
            </w:r>
          </w:p>
        </w:tc>
        <w:tc>
          <w:tcPr>
            <w:tcW w:type="dxa" w:w="4400"/>
            <w:tcMar>
              <w:top w:type="dxa" w:w="80"/>
              <w:left w:type="dxa" w:w="100"/>
              <w:bottom w:type="dxa" w:w="80"/>
              <w:right w:type="dxa" w:w="100"/>
            </w:tcMar>
          </w:tcPr>
          <w:p>
            <w:r>
              <w:rPr>
                <w:b w:val="false"/>
                <w:bCs w:val="false"/>
                <w:color w:val="000000"/>
                <w:sz w:val="20"/>
                <w:szCs w:val="20"/>
              </w:rPr>
              <w:t xml:space="preserve">Base tower structures (Physical + Frost + Blight share the same structural sprites)</w:t>
            </w:r>
          </w:p>
        </w:tc>
      </w:tr>
      <w:tr>
        <w:tc>
          <w:tcPr>
            <w:tcW w:type="dxa" w:w="4600"/>
            <w:tcMar>
              <w:top w:type="dxa" w:w="80"/>
              <w:left w:type="dxa" w:w="100"/>
              <w:bottom w:type="dxa" w:w="80"/>
              <w:right w:type="dxa" w:w="100"/>
            </w:tcMar>
          </w:tcPr>
          <w:p>
            <w:r>
              <w:rPr>
                <w:b w:val="false"/>
                <w:bCs w:val="false"/>
                <w:color w:val="000000"/>
                <w:sz w:val="20"/>
                <w:szCs w:val="20"/>
              </w:rPr>
              <w:t xml:space="preserve">2D assets/Rune Pack/PNG/Blue, /Black, /Grey</w:t>
            </w:r>
          </w:p>
        </w:tc>
        <w:tc>
          <w:tcPr>
            <w:tcW w:type="dxa" w:w="4400"/>
            <w:tcMar>
              <w:top w:type="dxa" w:w="80"/>
              <w:left w:type="dxa" w:w="100"/>
              <w:bottom w:type="dxa" w:w="80"/>
              <w:right w:type="dxa" w:w="100"/>
            </w:tcMar>
          </w:tcPr>
          <w:p>
            <w:r>
              <w:rPr>
                <w:b w:val="false"/>
                <w:bCs w:val="false"/>
                <w:color w:val="000000"/>
                <w:sz w:val="20"/>
                <w:szCs w:val="20"/>
              </w:rPr>
              <w:t xml:space="preserve">Elemental tint overlays applied per tower's rune_element</w:t>
            </w:r>
          </w:p>
        </w:tc>
      </w:tr>
      <w:tr>
        <w:tc>
          <w:tcPr>
            <w:tcW w:type="dxa" w:w="4600"/>
            <w:tcMar>
              <w:top w:type="dxa" w:w="80"/>
              <w:left w:type="dxa" w:w="100"/>
              <w:bottom w:type="dxa" w:w="80"/>
              <w:right w:type="dxa" w:w="100"/>
            </w:tcMar>
          </w:tcPr>
          <w:p>
            <w:r>
              <w:rPr>
                <w:b w:val="false"/>
                <w:bCs w:val="false"/>
                <w:color w:val="000000"/>
                <w:sz w:val="20"/>
                <w:szCs w:val="20"/>
              </w:rPr>
              <w:t xml:space="preserve">2D assets/Rune Pack/PNG/… (recolor pass)</w:t>
            </w:r>
          </w:p>
        </w:tc>
        <w:tc>
          <w:tcPr>
            <w:tcW w:type="dxa" w:w="4400"/>
            <w:tcMar>
              <w:top w:type="dxa" w:w="80"/>
              <w:left w:type="dxa" w:w="100"/>
              <w:bottom w:type="dxa" w:w="80"/>
              <w:right w:type="dxa" w:w="100"/>
            </w:tcMar>
          </w:tcPr>
          <w:p>
            <w:r>
              <w:rPr>
                <w:b w:val="false"/>
                <w:bCs w:val="false"/>
                <w:color w:val="000000"/>
                <w:sz w:val="20"/>
                <w:szCs w:val="20"/>
              </w:rPr>
              <w:t xml:space="preserve">Veteran/Legendary cosmetic skins (Feature Spec §6.4) — palette-swapped at import time, not runtime shader, to keep draw calls simple</w:t>
            </w:r>
          </w:p>
        </w:tc>
      </w:tr>
    </w:tbl>
    <w:p>
      <w:pPr>
        <w:pStyle w:val="Heading2"/>
        <w:spacing w:after="120" w:before="250"/>
      </w:pPr>
      <w:r>
        <w:t xml:space="preserve">2.3 Enemies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5B2A86" w:val="clear"/>
            <w:tcMar>
              <w:top w:type="dxa" w:w="80"/>
              <w:left w:type="dxa" w:w="100"/>
              <w:bottom w:type="dxa" w:w="80"/>
              <w:right w:type="dxa" w:w="100"/>
            </w:tcMar>
          </w:tcPr>
          <w:p>
            <w:r>
              <w:rPr>
                <w:b/>
                <w:bCs/>
                <w:color w:val="FFFFFF"/>
                <w:sz w:val="20"/>
                <w:szCs w:val="20"/>
              </w:rPr>
              <w:t xml:space="preserve">Source folder</w:t>
            </w:r>
          </w:p>
        </w:tc>
        <w:tc>
          <w:tcPr>
            <w:tcW w:type="dxa" w:w="4400"/>
            <w:shd w:fill="5B2A86" w:val="clear"/>
            <w:tcMar>
              <w:top w:type="dxa" w:w="80"/>
              <w:left w:type="dxa" w:w="100"/>
              <w:bottom w:type="dxa" w:w="80"/>
              <w:right w:type="dxa" w:w="100"/>
            </w:tcMar>
          </w:tcPr>
          <w:p>
            <w:r>
              <w:rPr>
                <w:b/>
                <w:bCs/>
                <w:color w:val="FFFFFF"/>
                <w:sz w:val="20"/>
                <w:szCs w:val="20"/>
              </w:rPr>
              <w:t xml:space="preserve">Used for</w:t>
            </w:r>
          </w:p>
        </w:tc>
      </w:tr>
      <w:tr>
        <w:tc>
          <w:tcPr>
            <w:tcW w:type="dxa" w:w="4600"/>
            <w:tcMar>
              <w:top w:type="dxa" w:w="80"/>
              <w:left w:type="dxa" w:w="100"/>
              <w:bottom w:type="dxa" w:w="80"/>
              <w:right w:type="dxa" w:w="100"/>
            </w:tcMar>
          </w:tcPr>
          <w:p>
            <w:r>
              <w:rPr>
                <w:b w:val="false"/>
                <w:bCs w:val="false"/>
                <w:color w:val="000000"/>
                <w:sz w:val="20"/>
                <w:szCs w:val="20"/>
              </w:rPr>
              <w:t xml:space="preserve">2D assets/Roguelike Characters Pack/Spritesheet/</w:t>
            </w:r>
          </w:p>
        </w:tc>
        <w:tc>
          <w:tcPr>
            <w:tcW w:type="dxa" w:w="4400"/>
            <w:tcMar>
              <w:top w:type="dxa" w:w="80"/>
              <w:left w:type="dxa" w:w="100"/>
              <w:bottom w:type="dxa" w:w="80"/>
              <w:right w:type="dxa" w:w="100"/>
            </w:tcMar>
          </w:tcPr>
          <w:p>
            <w:r>
              <w:rPr>
                <w:b w:val="false"/>
                <w:bCs w:val="false"/>
                <w:color w:val="000000"/>
                <w:sz w:val="20"/>
                <w:szCs w:val="20"/>
              </w:rPr>
              <w:t xml:space="preserve">Standard + Elite enemy archetypes (§4 of Feature Spec)</w:t>
            </w:r>
          </w:p>
        </w:tc>
      </w:tr>
      <w:tr>
        <w:tc>
          <w:tcPr>
            <w:tcW w:type="dxa" w:w="4600"/>
            <w:tcMar>
              <w:top w:type="dxa" w:w="80"/>
              <w:left w:type="dxa" w:w="100"/>
              <w:bottom w:type="dxa" w:w="80"/>
              <w:right w:type="dxa" w:w="100"/>
            </w:tcMar>
          </w:tcPr>
          <w:p>
            <w:r>
              <w:rPr>
                <w:b w:val="false"/>
                <w:bCs w:val="false"/>
                <w:color w:val="000000"/>
                <w:sz w:val="20"/>
                <w:szCs w:val="20"/>
              </w:rPr>
              <w:t xml:space="preserve">2D assets/Monster Builder Pack/Spritesheet/</w:t>
            </w:r>
          </w:p>
        </w:tc>
        <w:tc>
          <w:tcPr>
            <w:tcW w:type="dxa" w:w="4400"/>
            <w:tcMar>
              <w:top w:type="dxa" w:w="80"/>
              <w:left w:type="dxa" w:w="100"/>
              <w:bottom w:type="dxa" w:w="80"/>
              <w:right w:type="dxa" w:w="100"/>
            </w:tcMar>
          </w:tcPr>
          <w:p>
            <w:r>
              <w:rPr>
                <w:b w:val="false"/>
                <w:bCs w:val="false"/>
                <w:color w:val="000000"/>
                <w:sz w:val="20"/>
                <w:szCs w:val="20"/>
              </w:rPr>
              <w:t xml:space="preserve">Boss composite sprites (The Bulwark, Frostmaw, The Hollow King) — this pack's modular parts are built once per boss into a static composite sprite at import time</w:t>
            </w:r>
          </w:p>
        </w:tc>
      </w:tr>
    </w:tbl>
    <w:p>
      <w:pPr>
        <w:pStyle w:val="Heading2"/>
        <w:spacing w:after="120" w:before="250"/>
      </w:pPr>
      <w:r>
        <w:t xml:space="preserve">2.4 VFX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5B2A86" w:val="clear"/>
            <w:tcMar>
              <w:top w:type="dxa" w:w="80"/>
              <w:left w:type="dxa" w:w="100"/>
              <w:bottom w:type="dxa" w:w="80"/>
              <w:right w:type="dxa" w:w="100"/>
            </w:tcMar>
          </w:tcPr>
          <w:p>
            <w:r>
              <w:rPr>
                <w:b/>
                <w:bCs/>
                <w:color w:val="FFFFFF"/>
                <w:sz w:val="20"/>
                <w:szCs w:val="20"/>
              </w:rPr>
              <w:t xml:space="preserve">Source folder</w:t>
            </w:r>
          </w:p>
        </w:tc>
        <w:tc>
          <w:tcPr>
            <w:tcW w:type="dxa" w:w="3000"/>
            <w:shd w:fill="5B2A86" w:val="clear"/>
            <w:tcMar>
              <w:top w:type="dxa" w:w="80"/>
              <w:left w:type="dxa" w:w="100"/>
              <w:bottom w:type="dxa" w:w="80"/>
              <w:right w:type="dxa" w:w="100"/>
            </w:tcMar>
          </w:tcPr>
          <w:p>
            <w:r>
              <w:rPr>
                <w:b/>
                <w:bCs/>
                <w:color w:val="FFFFFF"/>
                <w:sz w:val="20"/>
                <w:szCs w:val="20"/>
              </w:rPr>
              <w:t xml:space="preserve">Used for</w:t>
            </w:r>
          </w:p>
        </w:tc>
      </w:tr>
      <w:tr>
        <w:tc>
          <w:tcPr>
            <w:tcW w:type="dxa" w:w="6000"/>
            <w:tcMar>
              <w:top w:type="dxa" w:w="80"/>
              <w:left w:type="dxa" w:w="100"/>
              <w:bottom w:type="dxa" w:w="80"/>
              <w:right w:type="dxa" w:w="100"/>
            </w:tcMar>
          </w:tcPr>
          <w:p>
            <w:r>
              <w:rPr>
                <w:b w:val="false"/>
                <w:bCs w:val="false"/>
                <w:color w:val="000000"/>
                <w:sz w:val="20"/>
                <w:szCs w:val="20"/>
              </w:rPr>
              <w:t xml:space="preserve">2D assets/Explosion Pack/Spritesheets/spritesheet_pixelExplosion.*</w:t>
            </w:r>
          </w:p>
        </w:tc>
        <w:tc>
          <w:tcPr>
            <w:tcW w:type="dxa" w:w="3000"/>
            <w:tcMar>
              <w:top w:type="dxa" w:w="80"/>
              <w:left w:type="dxa" w:w="100"/>
              <w:bottom w:type="dxa" w:w="80"/>
              <w:right w:type="dxa" w:w="100"/>
            </w:tcMar>
          </w:tcPr>
          <w:p>
            <w:r>
              <w:rPr>
                <w:b w:val="false"/>
                <w:bCs w:val="false"/>
                <w:color w:val="000000"/>
                <w:sz w:val="20"/>
                <w:szCs w:val="20"/>
              </w:rPr>
              <w:t xml:space="preserve">Physical tower hits, enemy death</w:t>
            </w:r>
          </w:p>
        </w:tc>
      </w:tr>
      <w:tr>
        <w:tc>
          <w:tcPr>
            <w:tcW w:type="dxa" w:w="6000"/>
            <w:tcMar>
              <w:top w:type="dxa" w:w="80"/>
              <w:left w:type="dxa" w:w="100"/>
              <w:bottom w:type="dxa" w:w="80"/>
              <w:right w:type="dxa" w:w="100"/>
            </w:tcMar>
          </w:tcPr>
          <w:p>
            <w:r>
              <w:rPr>
                <w:b w:val="false"/>
                <w:bCs w:val="false"/>
                <w:color w:val="000000"/>
                <w:sz w:val="20"/>
                <w:szCs w:val="20"/>
              </w:rPr>
              <w:t xml:space="preserve">2D assets/Explosion Pack/Spritesheets/spritesheet_simpleExplosion.*</w:t>
            </w:r>
          </w:p>
        </w:tc>
        <w:tc>
          <w:tcPr>
            <w:tcW w:type="dxa" w:w="3000"/>
            <w:tcMar>
              <w:top w:type="dxa" w:w="80"/>
              <w:left w:type="dxa" w:w="100"/>
              <w:bottom w:type="dxa" w:w="80"/>
              <w:right w:type="dxa" w:w="100"/>
            </w:tcMar>
          </w:tcPr>
          <w:p>
            <w:r>
              <w:rPr>
                <w:b w:val="false"/>
                <w:bCs w:val="false"/>
                <w:color w:val="000000"/>
                <w:sz w:val="20"/>
                <w:szCs w:val="20"/>
              </w:rPr>
              <w:t xml:space="preserve">Boss death, Ward-Stone-hit shake accompaniment</w:t>
            </w:r>
          </w:p>
        </w:tc>
      </w:tr>
      <w:tr>
        <w:tc>
          <w:tcPr>
            <w:tcW w:type="dxa" w:w="6000"/>
            <w:tcMar>
              <w:top w:type="dxa" w:w="80"/>
              <w:left w:type="dxa" w:w="100"/>
              <w:bottom w:type="dxa" w:w="80"/>
              <w:right w:type="dxa" w:w="100"/>
            </w:tcMar>
          </w:tcPr>
          <w:p>
            <w:r>
              <w:rPr>
                <w:b w:val="false"/>
                <w:bCs w:val="false"/>
                <w:color w:val="000000"/>
                <w:sz w:val="20"/>
                <w:szCs w:val="20"/>
              </w:rPr>
              <w:t xml:space="preserve">2D assets/Particle Pack/PNG (Transparent)/magic_*, light_*</w:t>
            </w:r>
          </w:p>
        </w:tc>
        <w:tc>
          <w:tcPr>
            <w:tcW w:type="dxa" w:w="3000"/>
            <w:tcMar>
              <w:top w:type="dxa" w:w="80"/>
              <w:left w:type="dxa" w:w="100"/>
              <w:bottom w:type="dxa" w:w="80"/>
              <w:right w:type="dxa" w:w="100"/>
            </w:tcMar>
          </w:tcPr>
          <w:p>
            <w:r>
              <w:rPr>
                <w:b w:val="false"/>
                <w:bCs w:val="false"/>
                <w:color w:val="000000"/>
                <w:sz w:val="20"/>
                <w:szCs w:val="20"/>
              </w:rPr>
              <w:t xml:space="preserve">Frost/Blight tower muzzle flashes</w:t>
            </w:r>
          </w:p>
        </w:tc>
      </w:tr>
      <w:tr>
        <w:tc>
          <w:tcPr>
            <w:tcW w:type="dxa" w:w="6000"/>
            <w:tcMar>
              <w:top w:type="dxa" w:w="80"/>
              <w:left w:type="dxa" w:w="100"/>
              <w:bottom w:type="dxa" w:w="80"/>
              <w:right w:type="dxa" w:w="100"/>
            </w:tcMar>
          </w:tcPr>
          <w:p>
            <w:r>
              <w:rPr>
                <w:b w:val="false"/>
                <w:bCs w:val="false"/>
                <w:color w:val="000000"/>
                <w:sz w:val="20"/>
                <w:szCs w:val="20"/>
              </w:rPr>
              <w:t xml:space="preserve">2D assets/Particle Pack/PNG (Transparent)/smoke_*</w:t>
            </w:r>
          </w:p>
        </w:tc>
        <w:tc>
          <w:tcPr>
            <w:tcW w:type="dxa" w:w="3000"/>
            <w:tcMar>
              <w:top w:type="dxa" w:w="80"/>
              <w:left w:type="dxa" w:w="100"/>
              <w:bottom w:type="dxa" w:w="80"/>
              <w:right w:type="dxa" w:w="100"/>
            </w:tcMar>
          </w:tcPr>
          <w:p>
            <w:r>
              <w:rPr>
                <w:b w:val="false"/>
                <w:bCs w:val="false"/>
                <w:color w:val="000000"/>
                <w:sz w:val="20"/>
                <w:szCs w:val="20"/>
              </w:rPr>
              <w:t xml:space="preserve">Blight DoT lingering effect</w:t>
            </w:r>
          </w:p>
        </w:tc>
      </w:tr>
      <w:tr>
        <w:tc>
          <w:tcPr>
            <w:tcW w:type="dxa" w:w="6000"/>
            <w:tcMar>
              <w:top w:type="dxa" w:w="80"/>
              <w:left w:type="dxa" w:w="100"/>
              <w:bottom w:type="dxa" w:w="80"/>
              <w:right w:type="dxa" w:w="100"/>
            </w:tcMar>
          </w:tcPr>
          <w:p>
            <w:r>
              <w:rPr>
                <w:b w:val="false"/>
                <w:bCs w:val="false"/>
                <w:color w:val="000000"/>
                <w:sz w:val="20"/>
                <w:szCs w:val="20"/>
              </w:rPr>
              <w:t xml:space="preserve">2D assets/Particle Pack/PNG (Transparent)/star_*</w:t>
            </w:r>
          </w:p>
        </w:tc>
        <w:tc>
          <w:tcPr>
            <w:tcW w:type="dxa" w:w="3000"/>
            <w:tcMar>
              <w:top w:type="dxa" w:w="80"/>
              <w:left w:type="dxa" w:w="100"/>
              <w:bottom w:type="dxa" w:w="80"/>
              <w:right w:type="dxa" w:w="100"/>
            </w:tcMar>
          </w:tcPr>
          <w:p>
            <w:r>
              <w:rPr>
                <w:b w:val="false"/>
                <w:bCs w:val="false"/>
                <w:color w:val="000000"/>
                <w:sz w:val="20"/>
                <w:szCs w:val="20"/>
              </w:rPr>
              <w:t xml:space="preserve">Best-wave-ever celebration (Feature Spec §8)</w:t>
            </w:r>
          </w:p>
        </w:tc>
      </w:tr>
    </w:tbl>
    <w:p>
      <w:pPr>
        <w:pStyle w:val="Heading2"/>
        <w:spacing w:after="120" w:before="250"/>
      </w:pPr>
      <w:r>
        <w:t xml:space="preserve">2.5 UI / Icons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5B2A86" w:val="clear"/>
            <w:tcMar>
              <w:top w:type="dxa" w:w="80"/>
              <w:left w:type="dxa" w:w="100"/>
              <w:bottom w:type="dxa" w:w="80"/>
              <w:right w:type="dxa" w:w="100"/>
            </w:tcMar>
          </w:tcPr>
          <w:p>
            <w:r>
              <w:rPr>
                <w:b/>
                <w:bCs/>
                <w:color w:val="FFFFFF"/>
                <w:sz w:val="20"/>
                <w:szCs w:val="20"/>
              </w:rPr>
              <w:t xml:space="preserve">Source folder</w:t>
            </w:r>
          </w:p>
        </w:tc>
        <w:tc>
          <w:tcPr>
            <w:tcW w:type="dxa" w:w="4400"/>
            <w:shd w:fill="5B2A86" w:val="clear"/>
            <w:tcMar>
              <w:top w:type="dxa" w:w="80"/>
              <w:left w:type="dxa" w:w="100"/>
              <w:bottom w:type="dxa" w:w="80"/>
              <w:right w:type="dxa" w:w="100"/>
            </w:tcMar>
          </w:tcPr>
          <w:p>
            <w:r>
              <w:rPr>
                <w:b/>
                <w:bCs/>
                <w:color w:val="FFFFFF"/>
                <w:sz w:val="20"/>
                <w:szCs w:val="20"/>
              </w:rPr>
              <w:t xml:space="preserve">Used for</w:t>
            </w:r>
          </w:p>
        </w:tc>
      </w:tr>
      <w:tr>
        <w:tc>
          <w:tcPr>
            <w:tcW w:type="dxa" w:w="4600"/>
            <w:tcMar>
              <w:top w:type="dxa" w:w="80"/>
              <w:left w:type="dxa" w:w="100"/>
              <w:bottom w:type="dxa" w:w="80"/>
              <w:right w:type="dxa" w:w="100"/>
            </w:tcMar>
          </w:tcPr>
          <w:p>
            <w:r>
              <w:rPr>
                <w:b w:val="false"/>
                <w:bCs w:val="false"/>
                <w:color w:val="000000"/>
                <w:sz w:val="20"/>
                <w:szCs w:val="20"/>
              </w:rPr>
              <w:t xml:space="preserve">UI assets/UI Pack - Adventure/PNG/</w:t>
            </w:r>
          </w:p>
        </w:tc>
        <w:tc>
          <w:tcPr>
            <w:tcW w:type="dxa" w:w="4400"/>
            <w:tcMar>
              <w:top w:type="dxa" w:w="80"/>
              <w:left w:type="dxa" w:w="100"/>
              <w:bottom w:type="dxa" w:w="80"/>
              <w:right w:type="dxa" w:w="100"/>
            </w:tcMar>
          </w:tcPr>
          <w:p>
            <w:r>
              <w:rPr>
                <w:b w:val="false"/>
                <w:bCs w:val="false"/>
                <w:color w:val="000000"/>
                <w:sz w:val="20"/>
                <w:szCs w:val="20"/>
              </w:rPr>
              <w:t xml:space="preserve">All buttons, panels, progress bars, HUD chrome</w:t>
            </w:r>
          </w:p>
        </w:tc>
      </w:tr>
      <w:tr>
        <w:tc>
          <w:tcPr>
            <w:tcW w:type="dxa" w:w="4600"/>
            <w:tcMar>
              <w:top w:type="dxa" w:w="80"/>
              <w:left w:type="dxa" w:w="100"/>
              <w:bottom w:type="dxa" w:w="80"/>
              <w:right w:type="dxa" w:w="100"/>
            </w:tcMar>
          </w:tcPr>
          <w:p>
            <w:r>
              <w:rPr>
                <w:b w:val="false"/>
                <w:bCs w:val="false"/>
                <w:color w:val="000000"/>
                <w:sz w:val="20"/>
                <w:szCs w:val="20"/>
              </w:rPr>
              <w:t xml:space="preserve">2D assets/Medals/PNG/</w:t>
            </w:r>
          </w:p>
        </w:tc>
        <w:tc>
          <w:tcPr>
            <w:tcW w:type="dxa" w:w="4400"/>
            <w:tcMar>
              <w:top w:type="dxa" w:w="80"/>
              <w:left w:type="dxa" w:w="100"/>
              <w:bottom w:type="dxa" w:w="80"/>
              <w:right w:type="dxa" w:w="100"/>
            </w:tcMar>
          </w:tcPr>
          <w:p>
            <w:r>
              <w:rPr>
                <w:b w:val="false"/>
                <w:bCs w:val="false"/>
                <w:color w:val="000000"/>
                <w:sz w:val="20"/>
                <w:szCs w:val="20"/>
              </w:rPr>
              <w:t xml:space="preserve">Rank-milestone badges (Feature Spec §8)</w:t>
            </w:r>
          </w:p>
        </w:tc>
      </w:tr>
      <w:tr>
        <w:tc>
          <w:tcPr>
            <w:tcW w:type="dxa" w:w="4600"/>
            <w:tcMar>
              <w:top w:type="dxa" w:w="80"/>
              <w:left w:type="dxa" w:w="100"/>
              <w:bottom w:type="dxa" w:w="80"/>
              <w:right w:type="dxa" w:w="100"/>
            </w:tcMar>
          </w:tcPr>
          <w:p>
            <w:r>
              <w:rPr>
                <w:b w:val="false"/>
                <w:bCs w:val="false"/>
                <w:color w:val="000000"/>
                <w:sz w:val="20"/>
                <w:szCs w:val="20"/>
              </w:rPr>
              <w:t xml:space="preserve">2D assets/Ranks Pack/Tilesheet/</w:t>
            </w:r>
          </w:p>
        </w:tc>
        <w:tc>
          <w:tcPr>
            <w:tcW w:type="dxa" w:w="4400"/>
            <w:tcMar>
              <w:top w:type="dxa" w:w="80"/>
              <w:left w:type="dxa" w:w="100"/>
              <w:bottom w:type="dxa" w:w="80"/>
              <w:right w:type="dxa" w:w="100"/>
            </w:tcMar>
          </w:tcPr>
          <w:p>
            <w:r>
              <w:rPr>
                <w:b w:val="false"/>
                <w:bCs w:val="false"/>
                <w:color w:val="000000"/>
                <w:sz w:val="20"/>
                <w:szCs w:val="20"/>
              </w:rPr>
              <w:t xml:space="preserve">Account-level rank icon + Veteran/Legendary skin palette source</w:t>
            </w:r>
          </w:p>
        </w:tc>
      </w:tr>
      <w:tr>
        <w:tc>
          <w:tcPr>
            <w:tcW w:type="dxa" w:w="4600"/>
            <w:tcMar>
              <w:top w:type="dxa" w:w="80"/>
              <w:left w:type="dxa" w:w="100"/>
              <w:bottom w:type="dxa" w:w="80"/>
              <w:right w:type="dxa" w:w="100"/>
            </w:tcMar>
          </w:tcPr>
          <w:p>
            <w:r>
              <w:rPr>
                <w:b w:val="false"/>
                <w:bCs w:val="false"/>
                <w:color w:val="000000"/>
                <w:sz w:val="20"/>
                <w:szCs w:val="20"/>
              </w:rPr>
              <w:t xml:space="preserve">Icons/Input Prompts/Touch/</w:t>
            </w:r>
          </w:p>
        </w:tc>
        <w:tc>
          <w:tcPr>
            <w:tcW w:type="dxa" w:w="4400"/>
            <w:tcMar>
              <w:top w:type="dxa" w:w="80"/>
              <w:left w:type="dxa" w:w="100"/>
              <w:bottom w:type="dxa" w:w="80"/>
              <w:right w:type="dxa" w:w="100"/>
            </w:tcMar>
          </w:tcPr>
          <w:p>
            <w:r>
              <w:rPr>
                <w:b w:val="false"/>
                <w:bCs w:val="false"/>
                <w:color w:val="000000"/>
                <w:sz w:val="20"/>
                <w:szCs w:val="20"/>
              </w:rPr>
              <w:t xml:space="preserve">Onboarding tooltip icons (User Flow §4)</w:t>
            </w:r>
          </w:p>
        </w:tc>
      </w:tr>
    </w:tbl>
    <w:p>
      <w:pPr>
        <w:pStyle w:val="Heading2"/>
        <w:spacing w:after="120" w:before="250"/>
      </w:pPr>
      <w:r>
        <w:t xml:space="preserve">2.6 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5B2A86" w:val="clear"/>
            <w:tcMar>
              <w:top w:type="dxa" w:w="80"/>
              <w:left w:type="dxa" w:w="100"/>
              <w:bottom w:type="dxa" w:w="80"/>
              <w:right w:type="dxa" w:w="100"/>
            </w:tcMar>
          </w:tcPr>
          <w:p>
            <w:r>
              <w:rPr>
                <w:b/>
                <w:bCs/>
                <w:color w:val="FFFFFF"/>
                <w:sz w:val="20"/>
                <w:szCs w:val="20"/>
              </w:rPr>
              <w:t xml:space="preserve">Source folder</w:t>
            </w:r>
          </w:p>
        </w:tc>
        <w:tc>
          <w:tcPr>
            <w:tcW w:type="dxa" w:w="3400"/>
            <w:shd w:fill="5B2A86" w:val="clear"/>
            <w:tcMar>
              <w:top w:type="dxa" w:w="80"/>
              <w:left w:type="dxa" w:w="100"/>
              <w:bottom w:type="dxa" w:w="80"/>
              <w:right w:type="dxa" w:w="100"/>
            </w:tcMar>
          </w:tcPr>
          <w:p>
            <w:r>
              <w:rPr>
                <w:b/>
                <w:bCs/>
                <w:color w:val="FFFFFF"/>
                <w:sz w:val="20"/>
                <w:szCs w:val="20"/>
              </w:rPr>
              <w:t xml:space="preserve">Used for</w:t>
            </w:r>
          </w:p>
        </w:tc>
      </w:tr>
      <w:tr>
        <w:tc>
          <w:tcPr>
            <w:tcW w:type="dxa" w:w="5600"/>
            <w:tcMar>
              <w:top w:type="dxa" w:w="80"/>
              <w:left w:type="dxa" w:w="100"/>
              <w:bottom w:type="dxa" w:w="80"/>
              <w:right w:type="dxa" w:w="100"/>
            </w:tcMar>
          </w:tcPr>
          <w:p>
            <w:r>
              <w:rPr>
                <w:b w:val="false"/>
                <w:bCs w:val="false"/>
                <w:color w:val="000000"/>
                <w:sz w:val="20"/>
                <w:szCs w:val="20"/>
              </w:rPr>
              <w:t xml:space="preserve">Audio/Music Loops/Loops/Infinite Descent.ogg</w:t>
            </w:r>
          </w:p>
        </w:tc>
        <w:tc>
          <w:tcPr>
            <w:tcW w:type="dxa" w:w="3400"/>
            <w:tcMar>
              <w:top w:type="dxa" w:w="80"/>
              <w:left w:type="dxa" w:w="100"/>
              <w:bottom w:type="dxa" w:w="80"/>
              <w:right w:type="dxa" w:w="100"/>
            </w:tcMar>
          </w:tcPr>
          <w:p>
            <w:r>
              <w:rPr>
                <w:b w:val="false"/>
                <w:bCs w:val="false"/>
                <w:color w:val="000000"/>
                <w:sz w:val="20"/>
                <w:szCs w:val="20"/>
              </w:rPr>
              <w:t xml:space="preserve">Main gameplay loop track (thematically fits an endless-wave defense game)</w:t>
            </w:r>
          </w:p>
        </w:tc>
      </w:tr>
      <w:tr>
        <w:tc>
          <w:tcPr>
            <w:tcW w:type="dxa" w:w="5600"/>
            <w:tcMar>
              <w:top w:type="dxa" w:w="80"/>
              <w:left w:type="dxa" w:w="100"/>
              <w:bottom w:type="dxa" w:w="80"/>
              <w:right w:type="dxa" w:w="100"/>
            </w:tcMar>
          </w:tcPr>
          <w:p>
            <w:r>
              <w:rPr>
                <w:b w:val="false"/>
                <w:bCs w:val="false"/>
                <w:color w:val="000000"/>
                <w:sz w:val="20"/>
                <w:szCs w:val="20"/>
              </w:rPr>
              <w:t xml:space="preserve">Audio/Music Loops/Loops/Mission Plausible.ogg</w:t>
            </w:r>
          </w:p>
        </w:tc>
        <w:tc>
          <w:tcPr>
            <w:tcW w:type="dxa" w:w="3400"/>
            <w:tcMar>
              <w:top w:type="dxa" w:w="80"/>
              <w:left w:type="dxa" w:w="100"/>
              <w:bottom w:type="dxa" w:w="80"/>
              <w:right w:type="dxa" w:w="100"/>
            </w:tcMar>
          </w:tcPr>
          <w:p>
            <w:r>
              <w:rPr>
                <w:b w:val="false"/>
                <w:bCs w:val="false"/>
                <w:color w:val="000000"/>
                <w:sz w:val="20"/>
                <w:szCs w:val="20"/>
              </w:rPr>
              <w:t xml:space="preserve">Boss-wave alternate track</w:t>
            </w:r>
          </w:p>
        </w:tc>
      </w:tr>
      <w:tr>
        <w:tc>
          <w:tcPr>
            <w:tcW w:type="dxa" w:w="5600"/>
            <w:tcMar>
              <w:top w:type="dxa" w:w="80"/>
              <w:left w:type="dxa" w:w="100"/>
              <w:bottom w:type="dxa" w:w="80"/>
              <w:right w:type="dxa" w:w="100"/>
            </w:tcMar>
          </w:tcPr>
          <w:p>
            <w:r>
              <w:rPr>
                <w:b w:val="false"/>
                <w:bCs w:val="false"/>
                <w:color w:val="000000"/>
                <w:sz w:val="20"/>
                <w:szCs w:val="20"/>
              </w:rPr>
              <w:t xml:space="preserve">Audio/Music Loops/Idents/Serious ident.ogg</w:t>
            </w:r>
          </w:p>
        </w:tc>
        <w:tc>
          <w:tcPr>
            <w:tcW w:type="dxa" w:w="3400"/>
            <w:tcMar>
              <w:top w:type="dxa" w:w="80"/>
              <w:left w:type="dxa" w:w="100"/>
              <w:bottom w:type="dxa" w:w="80"/>
              <w:right w:type="dxa" w:w="100"/>
            </w:tcMar>
          </w:tcPr>
          <w:p>
            <w:r>
              <w:rPr>
                <w:b w:val="false"/>
                <w:bCs w:val="false"/>
                <w:color w:val="000000"/>
                <w:sz w:val="20"/>
                <w:szCs w:val="20"/>
              </w:rPr>
              <w:t xml:space="preserve">Main Menu stinger</w:t>
            </w:r>
          </w:p>
        </w:tc>
      </w:tr>
      <w:tr>
        <w:tc>
          <w:tcPr>
            <w:tcW w:type="dxa" w:w="5600"/>
            <w:tcMar>
              <w:top w:type="dxa" w:w="80"/>
              <w:left w:type="dxa" w:w="100"/>
              <w:bottom w:type="dxa" w:w="80"/>
              <w:right w:type="dxa" w:w="100"/>
            </w:tcMar>
          </w:tcPr>
          <w:p>
            <w:r>
              <w:rPr>
                <w:b w:val="false"/>
                <w:bCs w:val="false"/>
                <w:color w:val="000000"/>
                <w:sz w:val="20"/>
                <w:szCs w:val="20"/>
              </w:rPr>
              <w:t xml:space="preserve">Audio/Impact Sounds/Audio/impactMetal_*, impactBell_heavy_*</w:t>
            </w:r>
          </w:p>
        </w:tc>
        <w:tc>
          <w:tcPr>
            <w:tcW w:type="dxa" w:w="3400"/>
            <w:tcMar>
              <w:top w:type="dxa" w:w="80"/>
              <w:left w:type="dxa" w:w="100"/>
              <w:bottom w:type="dxa" w:w="80"/>
              <w:right w:type="dxa" w:w="100"/>
            </w:tcMar>
          </w:tcPr>
          <w:p>
            <w:r>
              <w:rPr>
                <w:b w:val="false"/>
                <w:bCs w:val="false"/>
                <w:color w:val="000000"/>
                <w:sz w:val="20"/>
                <w:szCs w:val="20"/>
              </w:rPr>
              <w:t xml:space="preserve">Physical tower hits, Ward Stone damage cue</w:t>
            </w:r>
          </w:p>
        </w:tc>
      </w:tr>
      <w:tr>
        <w:tc>
          <w:tcPr>
            <w:tcW w:type="dxa" w:w="5600"/>
            <w:tcMar>
              <w:top w:type="dxa" w:w="80"/>
              <w:left w:type="dxa" w:w="100"/>
              <w:bottom w:type="dxa" w:w="80"/>
              <w:right w:type="dxa" w:w="100"/>
            </w:tcMar>
          </w:tcPr>
          <w:p>
            <w:r>
              <w:rPr>
                <w:b w:val="false"/>
                <w:bCs w:val="false"/>
                <w:color w:val="000000"/>
                <w:sz w:val="20"/>
                <w:szCs w:val="20"/>
              </w:rPr>
              <w:t xml:space="preserve">Audio/UI Audio/Audio/click2.ogg, switch1.ogg</w:t>
            </w:r>
          </w:p>
        </w:tc>
        <w:tc>
          <w:tcPr>
            <w:tcW w:type="dxa" w:w="3400"/>
            <w:tcMar>
              <w:top w:type="dxa" w:w="80"/>
              <w:left w:type="dxa" w:w="100"/>
              <w:bottom w:type="dxa" w:w="80"/>
              <w:right w:type="dxa" w:w="100"/>
            </w:tcMar>
          </w:tcPr>
          <w:p>
            <w:r>
              <w:rPr>
                <w:b w:val="false"/>
                <w:bCs w:val="false"/>
                <w:color w:val="000000"/>
                <w:sz w:val="20"/>
                <w:szCs w:val="20"/>
              </w:rPr>
              <w:t xml:space="preserve">Button press, draft-card select</w:t>
            </w:r>
          </w:p>
        </w:tc>
      </w:tr>
    </w:tbl>
    <w:p>
      <w:pPr>
        <w:pStyle w:val="Heading2"/>
        <w:spacing w:after="120" w:before="250"/>
      </w:pPr>
      <w:r>
        <w:t xml:space="preserve">2.7 Fonts</w:t>
      </w:r>
    </w:p>
    <w:p>
      <w:pPr>
        <w:pStyle w:val="ListParagraph"/>
        <w:numPr>
          <w:ilvl w:val="0"/>
          <w:numId w:val="2"/>
        </w:numPr>
        <w:spacing w:after="60"/>
      </w:pPr>
      <w:r>
        <w:t xml:space="preserve">Other/Fonts/ — pick one legible sans-serif already in the pack for all UI text; do not introduce a licensed third-party font.</w:t>
      </w:r>
    </w:p>
    <w:p>
      <w:pPr>
        <w:pStyle w:val="Heading1"/>
        <w:spacing w:after="150" w:before="300"/>
      </w:pPr>
      <w:r>
        <w:t xml:space="preserve">3. Import Settings</w:t>
      </w:r>
    </w:p>
    <w:p>
      <w:pPr>
        <w:pStyle w:val="ListParagraph"/>
        <w:numPr>
          <w:ilvl w:val="0"/>
          <w:numId w:val="2"/>
        </w:numPr>
        <w:spacing w:after="60"/>
      </w:pPr>
      <w:r>
        <w:t xml:space="preserve">All sprite folders above are imported as texture atlases (Godot's AtlasTexture generated from each pack's existing spritesheet .xml/.png pair where provided; hand-packed via TextureAtlas where the source is loose PNGs).</w:t>
      </w:r>
    </w:p>
    <w:p>
      <w:pPr>
        <w:pStyle w:val="ListParagraph"/>
        <w:numPr>
          <w:ilvl w:val="0"/>
          <w:numId w:val="2"/>
        </w:numPr>
        <w:spacing w:after="60"/>
      </w:pPr>
      <w:r>
        <w:t xml:space="preserve">Audio: .ogg imported with loop points set on the two music loop files; all one-shot SFX imported with stream compression off (short files, quality matters more than size).</w:t>
      </w:r>
    </w:p>
    <w:p>
      <w:pPr>
        <w:pStyle w:val="ListParagraph"/>
        <w:numPr>
          <w:ilvl w:val="0"/>
          <w:numId w:val="2"/>
        </w:numPr>
        <w:spacing w:after="60"/>
      </w:pPr>
      <w:r>
        <w:t xml:space="preserve">Filter mode: nearest-neighbor for all sprites (the source packs are clean flat-shaded art, not pixel art, so test both nearest and linear during Phase 0 and lock whichever reads better at the target device DPI — default to linear if unsure, since these are not 1-bit pixel-art packs).</w:t>
      </w:r>
    </w:p>
    <w:p>
      <w:pPr>
        <w:pStyle w:val="Heading1"/>
        <w:spacing w:after="150" w:before="300"/>
      </w:pPr>
      <w:r>
        <w:t xml:space="preserve">4. Ad Network Integration</w:t>
      </w:r>
    </w:p>
    <w:p>
      <w:pPr>
        <w:pStyle w:val="ListParagraph"/>
        <w:numPr>
          <w:ilvl w:val="0"/>
          <w:numId w:val="2"/>
        </w:numPr>
        <w:spacing w:after="60"/>
      </w:pPr>
      <w:r>
        <w:t xml:space="preserve">AdMob via the community Godot Android plugin (godot-admob-plugin or equivalent current-maintained plugin at build time — verify latest compatible version against the Godot 4.x release in use).</w:t>
      </w:r>
    </w:p>
    <w:p>
      <w:pPr>
        <w:pStyle w:val="ListParagraph"/>
        <w:numPr>
          <w:ilvl w:val="0"/>
          <w:numId w:val="2"/>
        </w:numPr>
        <w:spacing w:after="60"/>
      </w:pPr>
      <w:r>
        <w:t xml:space="preserve">Ad units needed: 1 rewarded video, 1 interstitial. Use Google's official test ad unit IDs throughout development; swap to production IDs only in the release build config, gated by a build flag so a debug build can never accidentally serve production ads.</w:t>
      </w:r>
    </w:p>
    <w:p>
      <w:pPr>
        <w:pStyle w:val="ListParagraph"/>
        <w:numPr>
          <w:ilvl w:val="0"/>
          <w:numId w:val="2"/>
        </w:numPr>
        <w:spacing w:after="60"/>
      </w:pPr>
      <w:r>
        <w:t xml:space="preserve">Interstitial frequency cap: at most once every 3 run-ends, tracked in stats_lifetime, to avoid the retention hit of over-showing ads.</w:t>
      </w:r>
    </w:p>
    <w:p>
      <w:pPr>
        <w:pStyle w:val="ListParagraph"/>
        <w:numPr>
          <w:ilvl w:val="0"/>
          <w:numId w:val="2"/>
        </w:numPr>
        <w:spacing w:after="60"/>
      </w:pPr>
      <w:r>
        <w:t xml:space="preserve">Consent: implement Google's User Messaging Platform (UMP) SDK flow for GDPR/UK consent before any ad request, required for Play Console policy compliance regardless of target market.</w:t>
      </w:r>
    </w:p>
    <w:p>
      <w:pPr>
        <w:pStyle w:val="Heading1"/>
        <w:spacing w:after="150" w:before="300"/>
      </w:pPr>
      <w:r>
        <w:t xml:space="preserve">5. Build &amp; Release Pipeline</w:t>
      </w:r>
    </w:p>
    <w:p>
      <w:pPr>
        <w:spacing w:after="120"/>
      </w:pPr>
      <w:r>
        <w:t xml:space="preserve">Implemented as a GitHub Actions pipeline (companion bundle: .github/workflows/android-build.yml, export_presets.cfg, SETUP.md), superseding an earlier purely-manual flow.</w:t>
      </w:r>
    </w:p>
    <w:p>
      <w:pPr>
        <w:pStyle w:val="ListParagraph"/>
        <w:numPr>
          <w:ilvl w:val="0"/>
          <w:numId w:val="3"/>
        </w:numPr>
        <w:spacing w:after="60"/>
      </w:pPr>
      <w:r>
        <w:t xml:space="preserve">Push to main triggers a debug-signed test APK build automatically (Godot's built-in debug keystore, no secrets needed), attached to a pre-release GitHub Release for sideloading onto a test device.</w:t>
      </w:r>
    </w:p>
    <w:p>
      <w:pPr>
        <w:pStyle w:val="ListParagraph"/>
        <w:numPr>
          <w:ilvl w:val="0"/>
          <w:numId w:val="3"/>
        </w:numPr>
        <w:spacing w:after="60"/>
      </w:pPr>
      <w:r>
        <w:t xml:space="preserve">A second job builds the signed release AAB but is gated behind a GitHub Environment (play-release) requiring manual reviewer approval — nothing in that job runs, not even checkout, until approved in the Actions tab. This is the human checkpoint that replaces the old “smoke test before promoting” step.</w:t>
      </w:r>
    </w:p>
    <w:p>
      <w:pPr>
        <w:pStyle w:val="ListParagraph"/>
        <w:numPr>
          <w:ilvl w:val="0"/>
          <w:numId w:val="3"/>
        </w:numPr>
        <w:spacing w:after="60"/>
      </w:pPr>
      <w:r>
        <w:t xml:space="preserve">The release keystore is never committed; it is stored as a base64 repository secret and decoded at build time. export_presets.cfg holds placeholder tokens (__KEYSTORE_RELEASE_PATH__ etc.) that are sed-substituted from secrets during the release job only — Godot has no native “local override” file for export presets, so token substitution is the documented pattern, not the export_presets.local.cfg approach this section described in an earlier draft.</w:t>
      </w:r>
    </w:p>
    <w:p>
      <w:pPr>
        <w:pStyle w:val="ListParagraph"/>
        <w:numPr>
          <w:ilvl w:val="0"/>
          <w:numId w:val="3"/>
        </w:numPr>
        <w:spacing w:after="60"/>
      </w:pPr>
      <w:r>
        <w:t xml:space="preserve">Output of the approved release job is a ready-to-upload .aab attached to a full GitHub Release; uploading it to Play Console remains a manual step (see SETUP.md for why full Play Console API automation is deferred for now).</w:t>
      </w:r>
    </w:p>
    <w:p>
      <w:pPr>
        <w:pStyle w:val="ListParagraph"/>
        <w:numPr>
          <w:ilvl w:val="0"/>
          <w:numId w:val="3"/>
        </w:numPr>
        <w:spacing w:after="60"/>
      </w:pPr>
      <w:r>
        <w:t xml:space="preserve">version/code in export_presets.cfg must be bumped by hand before any build that will actually be uploaded — Play Console rejects a repeat version code.</w:t>
      </w:r>
    </w:p>
    <w:p>
      <w:pPr>
        <w:pStyle w:val="Heading1"/>
        <w:spacing w:after="150" w:before="300"/>
      </w:pPr>
      <w:r>
        <w:t xml:space="preserve">6. Licensing Note</w:t>
      </w:r>
    </w:p>
    <w:p>
      <w:pPr>
        <w:spacing w:after="120"/>
      </w:pPr>
      <w:r>
        <w:t xml:space="preserve">The source asset pack's license terms (per its bundled License.txt files) permit use in a commercial, published game; no attribution requirement blocks omitting a credits screen, but including one costs nothing and is good practice. Confirm the exact license text bundled with the specific pack version before shipping, since license terms can vary by pack/version and this spec is not a substitute for reading that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2026-08-30T14:20:39.437Z</dcterms:created>
  <dcterms:modified xsi:type="dcterms:W3CDTF">2026-08-30T14:20:39.452Z</dcterms:modified>
</cp:coreProperties>
</file>

<file path=docProps/custom.xml><?xml version="1.0" encoding="utf-8"?>
<Properties xmlns="http://schemas.openxmlformats.org/officeDocument/2006/custom-properties" xmlns:vt="http://schemas.openxmlformats.org/officeDocument/2006/docPropsVTypes"/>
</file>