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Content Management in Health Care: PolicyGuard for Payment-Policy Change Validation</w:t>
      </w:r>
    </w:p>
    <w:p>
      <w:pPr>
        <w:jc w:val="center"/>
      </w:pPr>
      <w:r>
        <w:rPr>
          <w:sz w:val="18"/>
        </w:rPr>
        <w:t>Haorui Wang — Cotiviti Generative AI Research Intern Assessment</w:t>
        <w:br/>
        <w:t>Topic 3: Content Management in Health Care</w:t>
      </w:r>
    </w:p>
    <w:p>
      <w:r>
        <w:rPr>
          <w:b/>
          <w:sz w:val="22"/>
        </w:rPr>
        <w:t>1. Problem investigation</w:t>
      </w:r>
    </w:p>
    <w:p>
      <w:pPr>
        <w:spacing w:after="120"/>
      </w:pPr>
      <w:r>
        <w:rPr>
          <w:sz w:val="20"/>
        </w:rPr>
        <w:t>Payer organizations continuously ingest billing and coding policies (including CMS National Correct Coding Initiative guidance), clinical guidelines, and contract language. Material edits—especially effective-date thresholds and bundling/integral-service wording—must propagate into operational review logic without becoming unsupervised automation. Errors create two failure modes: (1) missed policy updates that allow inappropriate payment leakage, and (2) over-aggressive automation that lacks evidence, auditability, or expert accountability.</w:t>
      </w:r>
    </w:p>
    <w:p>
      <w:pPr>
        <w:spacing w:after="120"/>
      </w:pPr>
      <w:r>
        <w:rPr>
          <w:sz w:val="20"/>
        </w:rPr>
        <w:t>Cotiviti’s public positioning around payment accuracy and payment policy management highlights the operational need to keep policy intent aligned with validated edits and human oversight. The research question for this assessment is practical: Can a lightweight system detect source-grounded policy deltas, propose constrained declarative rules, abstain when language is ambiguous, and test approved rules on claims—without autonomous denial?</w:t>
      </w:r>
    </w:p>
    <w:p>
      <w:r>
        <w:rPr>
          <w:b/>
          <w:sz w:val="22"/>
        </w:rPr>
        <w:t>2. Approach and proof of concept</w:t>
      </w:r>
    </w:p>
    <w:p>
      <w:pPr>
        <w:spacing w:after="120"/>
      </w:pPr>
      <w:r>
        <w:rPr>
          <w:sz w:val="20"/>
        </w:rPr>
        <w:t>PolicyGuard is a human-in-the-loop POC that (1) compares policy versions with deterministic difflib differencing; (2) grounds material changes with document, section, effective date, and evidence; (3) proposes Pydantic-validated JSON rules (not executable Python); (4) applies approved rules via a deterministic engine that can only flag for review; and (5) records Approve / Reject / Request Expert Interpretation decisions in an append-only audit log. The demo uses synthetic CMS NCCI Chapter XI–style excerpts (not full manual republication) and fictional codes. An ambiguous “generally considered integral” addition is designed to abstain, forcing expert interpretation—an explicit governance feature.</w:t>
      </w:r>
    </w:p>
    <w:p>
      <w:r>
        <w:rPr>
          <w:b/>
          <w:sz w:val="22"/>
        </w:rPr>
        <w:t>3. Evaluation (POC-scale, measured)</w:t>
      </w:r>
    </w:p>
    <w:p>
      <w:pPr>
        <w:spacing w:after="120"/>
      </w:pPr>
      <w:r>
        <w:rPr>
          <w:sz w:val="20"/>
        </w:rPr>
        <w:t>A hand-labeled gold set over the demo passages was scored by evaluation/run_evaluation.py. Measured results: change-detection precision 100.0%, recall 100.0%; effective-date accuracy 100.0%; source-citation coverage 100.0%; abstention correctness 100.0%; rule-test pass rate 100.0%; simulated approve rate 33.3%; simulated expert-interpretation rate 33.3%. These metrics validate instrumentation and demo correctness only—not production performance.</w:t>
      </w:r>
    </w:p>
    <w:p>
      <w:r>
        <w:rPr>
          <w:b/>
          <w:sz w:val="22"/>
        </w:rPr>
        <w:t>4. Strategic recommendation for Cotiviti</w:t>
      </w:r>
    </w:p>
    <w:p>
      <w:pPr>
        <w:spacing w:after="120"/>
      </w:pPr>
      <w:r>
        <w:rPr>
          <w:sz w:val="20"/>
        </w:rPr>
        <w:t>Invest in a policy-change → validated-rule → expert-accountable workflow adjacent to payment policy management. Near term: deterministic diff, constrained rule schema, and a HITL queue for machine-clear effective-date and code-list edits. Mid term: optional LLM assistance only as a proposal layer with source retrieval, schema validation, and mandatory abstention on low-confidence qualitative language. Governance: treat abstention as a first-class outcome; prohibit model-authored executable code in payment paths; retain an audit trail for every rule promotion.</w:t>
      </w:r>
    </w:p>
    <w:p>
      <w:r>
        <w:rPr>
          <w:b/>
          <w:sz w:val="22"/>
        </w:rPr>
        <w:t>5. Limitations, future work, and conclusion</w:t>
      </w:r>
    </w:p>
    <w:p>
      <w:pPr>
        <w:spacing w:after="120"/>
      </w:pPr>
      <w:r>
        <w:rPr>
          <w:sz w:val="20"/>
        </w:rPr>
        <w:t>Limitations include a tiny demo corpus, no PHI or live adjudication, and an optional LLM path not required for the demo. Future work includes multi-document lineage, section-aware retrieval, reviewer UX studies, and abstention calibration against expert panels. Conclusion: PolicyGuard shows content-management technology for healthcare payment policy can be engineered as an evidence-grounded, schema-constrained, human-gated system. The strategic value is not autonomous denial—it is faster, auditable translation of written policy into reviewable rules with explicit expert accountability.</w:t>
      </w:r>
    </w:p>
    <w:p>
      <w:r>
        <w:br w:type="page"/>
      </w:r>
    </w:p>
    <w:p>
      <w:r>
        <w:rPr>
          <w:b/>
          <w:sz w:val="26"/>
        </w:rPr>
        <w:t>Bibliography</w:t>
      </w:r>
    </w:p>
    <w:p>
      <w:pPr>
        <w:spacing w:after="80"/>
        <w:ind w:left="360" w:hanging="360"/>
      </w:pPr>
      <w:r>
        <w:rPr>
          <w:sz w:val="18"/>
        </w:rPr>
        <w:t>Centers for Medicare &amp; Medicaid Services. (n.d.). National Correct Coding Initiative (NCCI) program. https://www.cms.gov/medicare/coding-billing/national-correct-coding-initiative-ncci-edits</w:t>
      </w:r>
    </w:p>
    <w:p>
      <w:pPr>
        <w:spacing w:after="80"/>
        <w:ind w:left="360" w:hanging="360"/>
      </w:pPr>
      <w:r>
        <w:rPr>
          <w:sz w:val="18"/>
        </w:rPr>
        <w:t>Centers for Medicare &amp; Medicaid Services. (n.d.). Medicare NCCI Policy Manual (cited conceptually; local demo files are synthetic adaptations, not full republication). https://www.cms.gov/medicare/coding-billing/national-correct-coding-initiative-ncci-edits/medicare-ncci-policy-manual</w:t>
      </w:r>
    </w:p>
    <w:p>
      <w:pPr>
        <w:spacing w:after="80"/>
        <w:ind w:left="360" w:hanging="360"/>
      </w:pPr>
      <w:r>
        <w:rPr>
          <w:sz w:val="18"/>
        </w:rPr>
        <w:t>Cotiviti. (n.d.). Payment accuracy. https://www.cotiviti.com/solutions/payment-accuracy</w:t>
      </w:r>
    </w:p>
    <w:p>
      <w:pPr>
        <w:spacing w:after="80"/>
        <w:ind w:left="360" w:hanging="360"/>
      </w:pPr>
      <w:r>
        <w:rPr>
          <w:sz w:val="18"/>
        </w:rPr>
        <w:t>Cotiviti. (n.d.). Payment policy management. https://www.cotiviti.com/solutions/payment-accuracy/payment-policy-management</w:t>
      </w:r>
    </w:p>
    <w:p>
      <w:pPr>
        <w:spacing w:after="80"/>
        <w:ind w:left="360" w:hanging="360"/>
      </w:pPr>
      <w:r>
        <w:rPr>
          <w:sz w:val="18"/>
        </w:rPr>
        <w:t>American Medical Association. (n.d.). CPT® overview (context only; no CPT content republished). https://www.ama-assn.org/practice-management/cpt</w:t>
      </w:r>
    </w:p>
    <w:p>
      <w:pPr>
        <w:spacing w:after="80"/>
        <w:ind w:left="360" w:hanging="360"/>
      </w:pPr>
      <w:r>
        <w:rPr>
          <w:sz w:val="18"/>
        </w:rPr>
        <w:t>Python Software Foundation. (n.d.). difflib — Helpers for computing deltas. https://docs.python.org/3/library/difflib.html</w:t>
      </w:r>
    </w:p>
    <w:p>
      <w:pPr>
        <w:spacing w:after="80"/>
        <w:ind w:left="360" w:hanging="360"/>
      </w:pPr>
      <w:r>
        <w:rPr>
          <w:sz w:val="18"/>
        </w:rPr>
        <w:t>Pydantic. (n.d.). Data validation using Python type hints. https://docs.pydantic.dev/</w:t>
      </w:r>
    </w:p>
    <w:p>
      <w:pPr>
        <w:spacing w:after="80"/>
        <w:ind w:left="360" w:hanging="360"/>
      </w:pPr>
      <w:r>
        <w:rPr>
          <w:sz w:val="18"/>
        </w:rPr>
        <w:t>Streamlit. (n.d.). Streamlit documentation. https://docs.streamlit.io/</w:t>
      </w:r>
    </w:p>
    <w:p>
      <w:pPr>
        <w:spacing w:after="80"/>
        <w:ind w:left="360" w:hanging="360"/>
      </w:pPr>
      <w:r>
        <w:rPr>
          <w:sz w:val="18"/>
        </w:rPr>
        <w:t>Amodei, D., et al. (2016). Concrete problems in AI safety. arXiv:1606.06565. https://arxiv.org/abs/1606.06565</w:t>
      </w:r>
    </w:p>
    <w:p>
      <w:pPr>
        <w:spacing w:after="80"/>
        <w:ind w:left="360" w:hanging="360"/>
      </w:pPr>
      <w:r>
        <w:rPr>
          <w:sz w:val="18"/>
        </w:rPr>
        <w:t>Ribeiro, M. T., Singh, S., &amp; Guestrin, C. (2016). “Why should I trust you?” Explaining the predictions of any classifier. KDD. https://doi.org/10.1145/2939672.2939778</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