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Quarterly Financial Report</w:t>
      </w:r>
    </w:p>
    <w:p>
      <w:pPr>
        <w:pStyle w:val="Heading1"/>
      </w:pPr>
      <w:r>
        <w:t>TechCorp Inc.</w:t>
      </w:r>
    </w:p>
    <w:p>
      <w:r>
        <w:t>Q4 2023 Financial Results</w:t>
      </w:r>
    </w:p>
    <w:p>
      <w:r>
        <w:t>Date: January 15, 2024</w:t>
      </w:r>
    </w:p>
    <w:p>
      <w:pPr>
        <w:pStyle w:val="Heading2"/>
      </w:pPr>
      <w:r>
        <w:t>Executive Summary</w:t>
      </w:r>
    </w:p>
    <w:p>
      <w:r>
        <w:t>TechCorp Inc. reports strong financial performance for Q4 2023. Revenue increased by 15% year-over-year to $125 million. Net profit reached $28 million, representing a 22.4% profit margin.</w:t>
      </w:r>
    </w:p>
    <w:p>
      <w:pPr>
        <w:pStyle w:val="Heading2"/>
      </w:pPr>
      <w:r>
        <w:t>Financial Highlights</w:t>
      </w:r>
    </w:p>
    <w:p>
      <w:r>
        <w:t>• Total Revenue: $125,000,000</w:t>
      </w:r>
    </w:p>
    <w:p>
      <w:r>
        <w:t>• Operating Expenses: $72,000,000</w:t>
      </w:r>
    </w:p>
    <w:p>
      <w:r>
        <w:t>• Net Profit: $28,000,000</w:t>
      </w:r>
    </w:p>
    <w:p>
      <w:r>
        <w:t>• Earnings Per Share (EPS): $2.15</w:t>
      </w:r>
    </w:p>
    <w:p>
      <w:r>
        <w:t>• Customer Acquisition: 5,000 new customers</w:t>
      </w:r>
    </w:p>
    <w:p>
      <w:pPr>
        <w:pStyle w:val="Heading2"/>
      </w:pPr>
      <w:r>
        <w:t>Key Performance Metrics</w:t>
      </w:r>
    </w:p>
    <w:p>
      <w:r>
        <w:t>Our financial metrics demonstrate sustained growth and operational excellence. The gross profit margin improved to 42.4% from 39.8% in the previous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Q4 2023</w:t>
            </w:r>
          </w:p>
        </w:tc>
        <w:tc>
          <w:tcPr>
            <w:tcW w:type="dxa" w:w="2880"/>
          </w:tcPr>
          <w:p>
            <w:r>
              <w:t>Q3 2023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$125M</w:t>
            </w:r>
          </w:p>
        </w:tc>
        <w:tc>
          <w:tcPr>
            <w:tcW w:type="dxa" w:w="2880"/>
          </w:tcPr>
          <w:p>
            <w:r>
              <w:t>$108M</w:t>
            </w:r>
          </w:p>
        </w:tc>
      </w:tr>
      <w:tr>
        <w:tc>
          <w:tcPr>
            <w:tcW w:type="dxa" w:w="2880"/>
          </w:tcPr>
          <w:p>
            <w:r>
              <w:t>Gross Profit</w:t>
            </w:r>
          </w:p>
        </w:tc>
        <w:tc>
          <w:tcPr>
            <w:tcW w:type="dxa" w:w="2880"/>
          </w:tcPr>
          <w:p>
            <w:r>
              <w:t>$53M</w:t>
            </w:r>
          </w:p>
        </w:tc>
        <w:tc>
          <w:tcPr>
            <w:tcW w:type="dxa" w:w="2880"/>
          </w:tcPr>
          <w:p>
            <w:r>
              <w:t>$43M</w:t>
            </w:r>
          </w:p>
        </w:tc>
      </w:tr>
      <w:tr>
        <w:tc>
          <w:tcPr>
            <w:tcW w:type="dxa" w:w="2880"/>
          </w:tcPr>
          <w:p>
            <w:r>
              <w:t>Operating Income</w:t>
            </w:r>
          </w:p>
        </w:tc>
        <w:tc>
          <w:tcPr>
            <w:tcW w:type="dxa" w:w="2880"/>
          </w:tcPr>
          <w:p>
            <w:r>
              <w:t>$35M</w:t>
            </w:r>
          </w:p>
        </w:tc>
        <w:tc>
          <w:tcPr>
            <w:tcW w:type="dxa" w:w="2880"/>
          </w:tcPr>
          <w:p>
            <w:r>
              <w:t>$28M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$28M</w:t>
            </w:r>
          </w:p>
        </w:tc>
        <w:tc>
          <w:tcPr>
            <w:tcW w:type="dxa" w:w="2880"/>
          </w:tcPr>
          <w:p>
            <w:r>
              <w:t>$22M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