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g9ete458c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PZ-808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tb5uo056h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Infrastructure Assets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PZ-808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Infrastructure Asset Management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9v7ahk5r0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e10mc4471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infrastructure resource must be automated, versioned, reproducible, and governed.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ly7ckac0f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Infrastructure Assets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Infrastructure Assets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Infrastructure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Infrastructure as Code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Cloud Assets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Containers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Kubernetes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Networking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Security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Monitoring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CI/CD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Disaster Recovery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Cost Management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x6r3i0rsr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pa2jwx7ey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Infrastructure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Cloud Provider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a50f7pmba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IA-002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sz7291lx6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as Code (IaC)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OpenTofu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Pulumi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Helm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Kustomize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f5ewfkqtr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Template 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rldl65cxc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IA-003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u5ldibai5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 Assets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Oracle Cloud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DigitalOcean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Private Cloud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i2cxya6mg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Resources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Load Balancers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ekr21h1dd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IA-004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k1r15qpp4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Container Registry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Compose Files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Build Templates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Runtime Profiles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120dlf4ln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IA-005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xqmbl83gn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Ingress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ConfigMaps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Autoscaling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rn8k1x5ir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IA-006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6phx7ud37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Subnets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Reverse Proxy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umq11dbpn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IA-007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u08u79z0k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Key Vault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Identity Federation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knb8ivckw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IA-008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ug2k6q1im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Uptime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gyuud5why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IA-009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tsxpoth1u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GitLab CI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Azure DevOps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Deployment Pipelines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pxufstwly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IA-010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74sydlrx0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Disaster Recovery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Recovery Plans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Failover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lw90ouyy7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IA-011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p8vr8fv4t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 Management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Cloud Cost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Compute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AI Usage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y79mhhi9u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IA-012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dbepjyx5w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Compliance Check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Cost Validation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Performance Test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i9nksv9qf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Infrastructure Lifecycle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Provision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Optimize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Retire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9zquhrpjl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Infrastructure Record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Infrastructure ID: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Environment: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Cloud: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IaC Template: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Cost: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Availability: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1j74xik74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Supported Environments</w:t>
      </w:r>
    </w:p>
    <w:tbl>
      <w:tblPr>
        <w:tblStyle w:val="Table1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105"/>
        <w:tblGridChange w:id="0">
          <w:tblGrid>
            <w:gridCol w:w="158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Automated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Pre-Production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Live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Disaster Recovery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418f63a06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Infrastructure Rules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ulwvniia3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Infrastructure Standards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0"/>
        </w:rPr>
        <w:t xml:space="preserve"> 100%.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والرأسي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jfl7v63l0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xt0f5jijs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PZ-402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Templates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 Management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Code Assets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Documentation Assets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 Governance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8d86q9how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infrastructure exists unless it is defined as code, documented, monitored, and governed.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