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bv687cteg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PZ-205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vhsokcffr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Memory Management Framework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PZ-205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Memory Management Framework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Draft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4e8fpdugl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iyqoinbe8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المعرفة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الاحتفاظ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انتهاء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جلسة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تؤثر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المشاريع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المستقبلية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7uesvjqa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Memory Principles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للمحادثة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للمعرفة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للتتبع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fpp0i72wm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Memory Architecture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1 → Organizational Memory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2 → Project Memory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3 → Technical Memory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4 → Operational Memory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5 → Session Memory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xjdehva4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1 — Organizational Memory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المنهجية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Standards.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نادرا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q5tbadrys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2 — Project Memory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المخاطر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2fxkyd2sf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3 — Technical Memory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Decisions (ADR)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Contracts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Policies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Standards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aw50nzkfy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4 — Operational Memory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المثبتة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Runbooks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jxr2p61k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5 — Session Memory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ترحيلها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8q6983maif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Memory Lifecycle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Capture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Classify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Retrieve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bt9e8052f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Memory Classification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Permanent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Short-Term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Disposable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2wew9d3gx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Memory Storage Rules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ID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Project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Documents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Updated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jjesmmm8v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Memory Retrieval Rules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Organizational Memory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Memory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Memory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Decisions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Risks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Standards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cei9z4y1d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 Promotion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ترقيتها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Session Memory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Project Memory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Organizational Memory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w82c9r081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Memory Quality Checklist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مصدرها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bsjhd8tr0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Memory Rules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مفقودة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والافتراضات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6fz44lqfu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Memory Retention Policy</w:t>
      </w:r>
    </w:p>
    <w:tbl>
      <w:tblPr>
        <w:tblStyle w:val="Table1"/>
        <w:tblW w:w="4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2525"/>
        <w:tblGridChange w:id="0">
          <w:tblGrid>
            <w:gridCol w:w="1655"/>
            <w:gridCol w:w="2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الذاكرة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مدة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الاحتفاظ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Organizational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1"/>
              </w:rPr>
              <w:t xml:space="preserve">دائم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1"/>
              </w:rPr>
              <w:t xml:space="preserve">طوال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المشروع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1"/>
              </w:rPr>
              <w:t xml:space="preserve">حتى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استبدال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التصميم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1"/>
              </w:rPr>
              <w:t xml:space="preserve">حتى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تثبت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فائدتها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1"/>
              </w:rPr>
              <w:t xml:space="preserve">حتى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المهمة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الجلسة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qpqkleu870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