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9x7cckrex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PZ-301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zsgw23kak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Engineering Standards (Final Structured)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PZ-301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Standard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aq5uj51mt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rj3ypujmb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Engineering Philosophy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once → Understand always → Maintain easily → Scale infinitely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anf0vl5p5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Core Engineering Principles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480m6mgaa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Simplicity First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المفهومة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2yvlr1b9b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Deterministic Design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y0gkfwpss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Modular Architecture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monolithic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fv7kigv17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Full Traceability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→ Feature → Design → Code → Test → Release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4vj781s2u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Change Safety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-106)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zjytdvm76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System Design Rules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jsaxgw2q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No Hidden Logic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yl00yisr2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Explicit Dependencies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مخفية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fqz67y9xd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Stateless Where Possible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ygrvnrgb9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4: Separation of Concerns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≠ Business Logic ≠ Data Layer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jel9afz4s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Engineering Rules (Critical)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yywuqihtgj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يلتزم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بالـ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فقط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3w0osjwc82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يفترض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معلومات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غير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موجودة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btwwjhg0yp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يفضل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القابل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للصيانة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ً”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mntksdzvtw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يوضح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الافتراضات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2cwzpj1n6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Engineering Workflow Standard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Requirement (PZ-201)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Design (Architecture)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Review (PZ-109)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QA (PZ-208)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→ PZ-110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yzxwfmuws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Code Ownership Rules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8jl2yedu7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Quality Requirements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دقائق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ok1o7srb8j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Patterns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ممنوعات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ctdttiafn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Spaghetti Logic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cy5262bi9r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Hidden Side Effects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r76fdcsxa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Over Engineering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yq3l5b7kgv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Duplicate Logic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0xc528ut8i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Untraceable Decisions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x7i4t832b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 Map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-301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-202 →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-204 →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-205 → </w:t>
      </w:r>
      <w:r w:rsidDel="00000000" w:rsidR="00000000" w:rsidRPr="00000000">
        <w:rPr>
          <w:rtl w:val="1"/>
        </w:rPr>
        <w:t xml:space="preserve">الذاكرة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-206 →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-208 → </w:t>
      </w: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-109 →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gdem1khcr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Success Metrics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ينفذه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ارتباك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