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4E79" w:val="clear"/>
        <w:spacing w:after="120" w:before="200"/>
        <w:ind w:left="130" w:right="130"/>
      </w:pPr>
      <w:r>
        <w:rPr>
          <w:rFonts w:ascii="Arial" w:cs="Arial" w:eastAsia="Arial" w:hAnsi="Arial"/>
          <w:b/>
          <w:bCs/>
          <w:color w:val="FFFFFF"/>
          <w:sz w:val="26"/>
          <w:szCs w:val="26"/>
        </w:rPr>
        <w:t xml:space="preserve">Securite du Service de Geolocalisation</w:t>
      </w:r>
    </w:p>
    <w:p>
      <w:pPr>
        <w:spacing w:after="50" w:before="50"/>
      </w:pPr>
      <w:r>
        <w:rPr>
          <w:rFonts w:ascii="Arial" w:cs="Arial" w:eastAsia="Arial" w:hAnsi="Arial"/>
          <w:color w:val="000000"/>
          <w:sz w:val="21"/>
          <w:szCs w:val="21"/>
        </w:rPr>
        <w:t xml:space="preserve">La position GPS est une donnee personnelle sensible. Le service applique donc plusieurs controles de securite independants, selon le principe de defense en profondeur : chaque couche est une barriere autonome, et si l'une cede, les autres restent actives.</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1. Authentification (JWT)</w:t>
      </w:r>
    </w:p>
    <w:p>
      <w:pPr>
        <w:spacing w:after="50" w:before="50"/>
      </w:pPr>
      <w:r>
        <w:rPr>
          <w:rFonts w:ascii="Arial" w:cs="Arial" w:eastAsia="Arial" w:hAnsi="Arial"/>
          <w:color w:val="000000"/>
          <w:sz w:val="21"/>
          <w:szCs w:val="21"/>
        </w:rPr>
        <w:t xml:space="preserve">Chaque requete doit presenter un jeton JWT valide dans l'en-tete X-JWT-Assertion. Le jeton est valide (signature et expiration) par le socle de securite de l'API Happy avant tout traitement. Une requete sans jeton valide est rejetee avec un code HTTP 401.</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2. Autorisation (@AccessControl)</w:t>
      </w:r>
    </w:p>
    <w:p>
      <w:pPr>
        <w:spacing w:after="50" w:before="50"/>
      </w:pPr>
      <w:r>
        <w:rPr>
          <w:rFonts w:ascii="Arial" w:cs="Arial" w:eastAsia="Arial" w:hAnsi="Arial"/>
          <w:color w:val="000000"/>
          <w:sz w:val="21"/>
          <w:szCs w:val="21"/>
        </w:rPr>
        <w:t xml:space="preserve">Chaque methode de la ressource est annotee avec @AccessControl. Cette annotation, traitee par le socle Happy, verifie que le client authentifie a le droit d'appeler la fonction concernee. C'est la meme mecanique que celle utilisee par les ressources existantes du projet (AccountResource, NotificationResource).</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3. Coherence d'identite (URL et JWT)</w:t>
      </w:r>
    </w:p>
    <w:p>
      <w:pPr>
        <w:spacing w:after="50" w:before="50"/>
      </w:pPr>
      <w:r>
        <w:rPr>
          <w:rFonts w:ascii="Arial" w:cs="Arial" w:eastAsia="Arial" w:hAnsi="Arial"/>
          <w:color w:val="000000"/>
          <w:sz w:val="21"/>
          <w:szCs w:val="21"/>
        </w:rPr>
        <w:t xml:space="preserve">Le customerId present dans l'URL est compare au client authentifie dans le jeton JWT. Cette verification empeche un client d'acceder aux positions d'un autre client. En cas de difference, l'acces est refuse avec un code HTTP 403. C'est d'ailleurs la raison principale pour laquelle le customerId figure dans le chemin de l'URL.</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4. Consentement RGPD</w:t>
      </w:r>
    </w:p>
    <w:p>
      <w:pPr>
        <w:spacing w:after="50" w:before="50"/>
      </w:pPr>
      <w:r>
        <w:rPr>
          <w:rFonts w:ascii="Arial" w:cs="Arial" w:eastAsia="Arial" w:hAnsi="Arial"/>
          <w:color w:val="000000"/>
          <w:sz w:val="21"/>
          <w:szCs w:val="21"/>
        </w:rPr>
        <w:t xml:space="preserve">Avant tout enregistrement ou mise a jour d'une position, le service verifie que le client a donne son consentement de geolocalisation. Le traitement d'une donnee de localisation suppose une base legale : ici, le consentement explicite. En l'absence de consentement, la position est refusee avec un code HTTP 403. Le service de suppression (DELETE) repond par ailleurs au droit a l'effacement impose par l'Article 17 du RGPD.</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5. Validation des entrees</w:t>
      </w:r>
    </w:p>
    <w:p>
      <w:pPr>
        <w:spacing w:after="50" w:before="50"/>
      </w:pPr>
      <w:r>
        <w:rPr>
          <w:rFonts w:ascii="Arial" w:cs="Arial" w:eastAsia="Arial" w:hAnsi="Arial"/>
          <w:color w:val="000000"/>
          <w:sz w:val="21"/>
          <w:szCs w:val="21"/>
        </w:rPr>
        <w:t xml:space="preserve">Les donnees recues sont validees avant tout traitement, selon le principe de ne jamais faire confiance aux entrees :</w:t>
      </w:r>
    </w:p>
    <w:p>
      <w:pPr>
        <w:pStyle w:val="ListParagraph"/>
        <w:numPr>
          <w:ilvl w:val="0"/>
          <w:numId w:val="2"/>
        </w:numPr>
        <w:spacing w:after="30" w:before="30"/>
      </w:pPr>
      <w:r>
        <w:rPr>
          <w:rFonts w:ascii="Arial" w:cs="Arial" w:eastAsia="Arial" w:hAnsi="Arial"/>
          <w:sz w:val="21"/>
          <w:szCs w:val="21"/>
        </w:rPr>
        <w:t xml:space="preserve">Latitude comprise entre -90 et +90, longitude entre -180 et +180.</w:t>
      </w:r>
    </w:p>
    <w:p>
      <w:pPr>
        <w:pStyle w:val="ListParagraph"/>
        <w:numPr>
          <w:ilvl w:val="0"/>
          <w:numId w:val="2"/>
        </w:numPr>
        <w:spacing w:after="30" w:before="30"/>
      </w:pPr>
      <w:r>
        <w:rPr>
          <w:rFonts w:ascii="Arial" w:cs="Arial" w:eastAsia="Arial" w:hAnsi="Arial"/>
          <w:sz w:val="21"/>
          <w:szCs w:val="21"/>
        </w:rPr>
        <w:t xml:space="preserve">Champs obligatoires presents (latitude, longitude).</w:t>
      </w:r>
    </w:p>
    <w:p>
      <w:pPr>
        <w:pStyle w:val="ListParagraph"/>
        <w:numPr>
          <w:ilvl w:val="0"/>
          <w:numId w:val="2"/>
        </w:numPr>
        <w:spacing w:after="30" w:before="30"/>
      </w:pPr>
      <w:r>
        <w:rPr>
          <w:rFonts w:ascii="Arial" w:cs="Arial" w:eastAsia="Arial" w:hAnsi="Arial"/>
          <w:sz w:val="21"/>
          <w:szCs w:val="21"/>
        </w:rPr>
        <w:t xml:space="preserve">Coherence de l'horodatage serveur.</w:t>
      </w:r>
    </w:p>
    <w:p>
      <w:pPr>
        <w:spacing w:after="50" w:before="50"/>
      </w:pPr>
      <w:r>
        <w:rPr>
          <w:rFonts w:ascii="Arial" w:cs="Arial" w:eastAsia="Arial" w:hAnsi="Arial"/>
          <w:color w:val="000000"/>
          <w:sz w:val="21"/>
          <w:szCs w:val="21"/>
        </w:rPr>
        <w:t xml:space="preserve">Toute donnee invalide est rejetee avec un code HTTP 400, sans atteindre la base de donnees.</w:t>
      </w:r>
    </w:p>
    <w:p>
      <w:pPr>
        <w:spacing w:after="50" w:before="50"/>
      </w:pPr>
      <w:r>
        <w:t xml:space="preserve"/>
      </w:r>
    </w:p>
    <w:p>
      <w:pPr>
        <w:pStyle w:val="Heading2"/>
        <w:pBdr>
          <w:bottom w:val="single" w:color="2E75B6" w:sz="3"/>
        </w:pBdr>
        <w:spacing w:after="80" w:before="180"/>
      </w:pPr>
      <w:r>
        <w:rPr>
          <w:rFonts w:ascii="Arial" w:cs="Arial" w:eastAsia="Arial" w:hAnsi="Arial"/>
          <w:b/>
          <w:bCs/>
          <w:color w:val="1F4E79"/>
          <w:sz w:val="23"/>
          <w:szCs w:val="23"/>
        </w:rPr>
        <w:t xml:space="preserve">6. Synthese des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Code</w:t>
            </w:r>
          </w:p>
        </w:tc>
        <w:tc>
          <w:tcPr>
            <w:tcW w:type="dxa" w:w="340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Controle</w:t>
            </w:r>
          </w:p>
        </w:tc>
        <w:tc>
          <w:tcPr>
            <w:tcW w:type="dxa" w:w="5060"/>
            <w:tcBorders>
              <w:top w:val="single" w:color="CCCCCC" w:sz="1"/>
              <w:left w:val="single" w:color="CCCCCC" w:sz="1"/>
              <w:bottom w:val="single" w:color="CCCCCC" w:sz="1"/>
              <w:right w:val="single" w:color="CCCCCC" w:sz="1"/>
            </w:tcBorders>
            <w:shd w:fill="1F4E79" w:val="clear"/>
            <w:tcMar>
              <w:top w:type="dxa" w:w="70"/>
              <w:left w:type="dxa" w:w="150"/>
              <w:bottom w:type="dxa" w:w="70"/>
              <w:right w:type="dxa" w:w="120"/>
            </w:tcMar>
          </w:tcPr>
          <w:p>
            <w:r>
              <w:rPr>
                <w:rFonts w:ascii="Arial" w:cs="Arial" w:eastAsia="Arial" w:hAnsi="Arial"/>
                <w:b/>
                <w:bCs/>
                <w:color w:val="FFFFFF"/>
                <w:sz w:val="19"/>
                <w:szCs w:val="19"/>
              </w:rPr>
              <w:t xml:space="preserve">Role</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8"/>
                <w:szCs w:val="18"/>
              </w:rPr>
              <w:t xml:space="preserve">401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8"/>
                <w:szCs w:val="18"/>
              </w:rPr>
              <w:t xml:space="preserve">Authentification JWT</w:t>
            </w:r>
          </w:p>
        </w:tc>
        <w:tc>
          <w:tcPr>
            <w:tcW w:type="dxa" w:w="5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8"/>
                <w:szCs w:val="18"/>
              </w:rPr>
              <w:t xml:space="preserve">Verifie l'identite de l'appelant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8"/>
                <w:szCs w:val="18"/>
              </w:rPr>
              <w:t xml:space="preserve">403</w:t>
            </w:r>
          </w:p>
        </w:tc>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8"/>
                <w:szCs w:val="18"/>
              </w:rPr>
              <w:t xml:space="preserve">Autorisation et coherence d'identite</w:t>
            </w:r>
          </w:p>
        </w:tc>
        <w:tc>
          <w:tcPr>
            <w:tcW w:type="dxa" w:w="50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8"/>
                <w:szCs w:val="18"/>
              </w:rPr>
              <w:t xml:space="preserve">Verifie le droit d'acces et que le client accede a ses propres donnees</w:t>
            </w:r>
          </w:p>
        </w:tc>
      </w:tr>
      <w:tr>
        <w:tc>
          <w:tcPr>
            <w:tcW w:type="dxa" w:w="900"/>
            <w:tcBorders>
              <w:top w:val="single" w:color="CCCCCC" w:sz="1"/>
              <w:left w:val="single" w:color="CCCCCC" w:sz="1"/>
              <w:bottom w:val="single" w:color="CCCCCC" w:sz="1"/>
              <w:right w:val="single" w:color="CCCCCC" w:sz="1"/>
            </w:tcBorders>
            <w:shd w:fill="D6E4F0" w:val="clear"/>
            <w:tcMar>
              <w:top w:type="dxa" w:w="70"/>
              <w:left w:type="dxa" w:w="150"/>
              <w:bottom w:type="dxa" w:w="70"/>
              <w:right w:type="dxa" w:w="120"/>
            </w:tcMar>
          </w:tcPr>
          <w:p>
            <w:r>
              <w:rPr>
                <w:rFonts w:ascii="Arial" w:cs="Arial" w:eastAsia="Arial" w:hAnsi="Arial"/>
                <w:b/>
                <w:bCs/>
                <w:sz w:val="18"/>
                <w:szCs w:val="18"/>
              </w:rPr>
              <w:t xml:space="preserve">403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8"/>
                <w:szCs w:val="18"/>
              </w:rPr>
              <w:t xml:space="preserve">Consentement RGPD</w:t>
            </w:r>
          </w:p>
        </w:tc>
        <w:tc>
          <w:tcPr>
            <w:tcW w:type="dxa" w:w="50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val="false"/>
                <w:bCs w:val="false"/>
                <w:sz w:val="18"/>
                <w:szCs w:val="18"/>
              </w:rPr>
              <w:t xml:space="preserve">Verifie la base legale avant traitement de la position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20"/>
            </w:tcMar>
          </w:tcPr>
          <w:p>
            <w:r>
              <w:rPr>
                <w:rFonts w:ascii="Arial" w:cs="Arial" w:eastAsia="Arial" w:hAnsi="Arial"/>
                <w:b/>
                <w:bCs/>
                <w:sz w:val="18"/>
                <w:szCs w:val="18"/>
              </w:rPr>
              <w:t xml:space="preserve">400</w:t>
            </w:r>
          </w:p>
        </w:tc>
        <w:tc>
          <w:tcPr>
            <w:tcW w:type="dxa" w:w="3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8"/>
                <w:szCs w:val="18"/>
              </w:rPr>
              <w:t xml:space="preserve">Validation des entrees</w:t>
            </w:r>
          </w:p>
        </w:tc>
        <w:tc>
          <w:tcPr>
            <w:tcW w:type="dxa" w:w="506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20"/>
            </w:tcMar>
          </w:tcPr>
          <w:p>
            <w:r>
              <w:rPr>
                <w:rFonts w:ascii="Arial" w:cs="Arial" w:eastAsia="Arial" w:hAnsi="Arial"/>
                <w:b w:val="false"/>
                <w:bCs w:val="false"/>
                <w:sz w:val="18"/>
                <w:szCs w:val="18"/>
              </w:rPr>
              <w:t xml:space="preserve">Rejette les donnees invalides ou aberrantes</w:t>
            </w:r>
          </w:p>
        </w:tc>
      </w:tr>
    </w:tbl>
    <w:p>
      <w:pPr>
        <w:spacing w:after="50" w:before="50"/>
      </w:pPr>
      <w:r>
        <w:t xml:space="preserve"/>
      </w:r>
    </w:p>
    <w:p>
      <w:pPr>
        <w:spacing w:after="50" w:before="50"/>
      </w:pPr>
      <w:r>
        <w:rPr>
          <w:rFonts w:ascii="Arial" w:cs="Arial" w:eastAsia="Arial" w:hAnsi="Arial"/>
          <w:b/>
          <w:bCs/>
          <w:color w:val="000000"/>
          <w:sz w:val="21"/>
          <w:szCs w:val="21"/>
        </w:rPr>
        <w:t xml:space="preserve">Repartition des responsabilites : </w:t>
      </w:r>
      <w:r>
        <w:rPr>
          <w:rFonts w:ascii="Arial" w:cs="Arial" w:eastAsia="Arial" w:hAnsi="Arial"/>
          <w:color w:val="000000"/>
          <w:sz w:val="21"/>
          <w:szCs w:val="21"/>
        </w:rPr>
        <w:t xml:space="preserve">l'authentification (JWT) et l'autorisation (@AccessControl) sont assurees par le socle de securite de l'API Happy. La coherence d'identite, le consentement RGPD et la validation des entrees sont appliques au niveau du service de geolocalisation.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2026-06-26T09:47:02.720Z</dcterms:created>
  <dcterms:modified xsi:type="dcterms:W3CDTF">2026-06-26T09:47:02.736Z</dcterms:modified>
</cp:coreProperties>
</file>

<file path=docProps/custom.xml><?xml version="1.0" encoding="utf-8"?>
<Properties xmlns="http://schemas.openxmlformats.org/officeDocument/2006/custom-properties" xmlns:vt="http://schemas.openxmlformats.org/officeDocument/2006/docPropsVTypes"/>
</file>