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onsolas" w:cs="Consolas" w:eastAsia="Consolas" w:hAnsi="Consolas"/>
          <w:color w:val="7A5C22"/>
          <w:spacing w:val="40"/>
          <w:sz w:val="16"/>
          <w:szCs w:val="16"/>
        </w:rPr>
        <w:t xml:space="preserve">DOCUMENTO · MODELO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0B1426"/>
          <w:sz w:val="50"/>
          <w:szCs w:val="50"/>
        </w:rPr>
        <w:t xml:space="preserve">Contrato de prestación de servicios</w:t>
      </w:r>
    </w:p>
    <w:p>
      <w:pPr>
        <w:pBdr>
          <w:left w:val="single" w:color="C9A66B" w:sz="24" w:space="8"/>
        </w:pBdr>
        <w:shd w:fill="F4F1E8" w:color="auto" w:val="clear"/>
        <w:spacing w:after="200"/>
      </w:pPr>
      <w:r>
        <w:rPr>
          <w:rFonts w:ascii="Calibri" w:cs="Calibri" w:eastAsia="Calibri" w:hAnsi="Calibri"/>
          <w:i/>
          <w:iCs/>
          <w:color w:val="4F596B"/>
          <w:sz w:val="19"/>
          <w:szCs w:val="19"/>
        </w:rPr>
        <w:t xml:space="preserve">Modelo orientativo. Rellena los espacios en blanco y marca las casillas ☐ que apliquen. Antes de firmar, que lo revise un abogado: contiene cláusulas de protección de datos y de responsabilidad que dependen de cada caso.</w:t>
      </w:r>
    </w:p>
    <w:p>
      <w:pPr>
        <w:keepNext/>
        <w:pBdr>
          <w:bottom w:val="single" w:color="C9A66B" w:sz="6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0B1426"/>
          <w:sz w:val="28"/>
          <w:szCs w:val="28"/>
        </w:rPr>
        <w:t xml:space="preserve">Reunidos</w:t>
      </w:r>
    </w:p>
    <w:p>
      <w:pPr>
        <w:spacing w:after="110" w:line="300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En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a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de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de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spacing w:after="11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 una parte, la PRESTADORA: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Viviana Andrea Acero Pulido, con NIF/NIE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domicilio en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[..........................]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que actúa con la marca comercial AI Lead Machine (en adelante, la «Prestadora»).</w:t>
      </w:r>
    </w:p>
    <w:p>
      <w:pPr>
        <w:spacing w:after="11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 otra parte, el CLIENTE: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Martínez-Matilla Abogados, forma jurídica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con NIF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domicilio en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[..........................]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representado por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[..........................]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en calidad de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(en adelante, el «Cliente»).</w:t>
      </w:r>
    </w:p>
    <w:p>
      <w:pPr>
        <w:spacing w:after="110" w:line="300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Ambas partes se reconocen capacidad legal suficiente y acuerdan este contrato.</w:t>
      </w:r>
    </w:p>
    <w:p>
      <w:pPr>
        <w:keepNext/>
        <w:pBdr>
          <w:bottom w:val="single" w:color="C9A66B" w:sz="6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0B1426"/>
          <w:sz w:val="28"/>
          <w:szCs w:val="28"/>
        </w:rPr>
        <w:t xml:space="preserve">1. Objeto</w:t>
      </w:r>
    </w:p>
    <w:p>
      <w:pPr>
        <w:spacing w:after="110" w:line="300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Prestadora presta al Cliente los servicios descritos en la cláusula 2: la mejora de su web actual (martinezmatilla.com) y la puesta en marcha de un asistente virtual de atención y reserva de primeras consultas, con el mantenimiento acordado.</w:t>
      </w:r>
    </w:p>
    <w:p>
      <w:pPr>
        <w:keepNext/>
        <w:pBdr>
          <w:bottom w:val="single" w:color="C9A66B" w:sz="6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0B1426"/>
          <w:sz w:val="28"/>
          <w:szCs w:val="28"/>
        </w:rPr>
        <w:t xml:space="preserve">2. Servicios incluidos</w:t>
      </w:r>
    </w:p>
    <w:p>
      <w:pPr>
        <w:spacing w:after="60"/>
      </w:pPr>
      <w:r>
        <w:rPr>
          <w:rFonts w:ascii="Consolas" w:cs="Consolas" w:eastAsia="Consolas" w:hAnsi="Consolas"/>
          <w:color w:val="7A5C22"/>
          <w:spacing w:val="40"/>
          <w:sz w:val="16"/>
          <w:szCs w:val="16"/>
        </w:rPr>
        <w:t xml:space="preserve">A. MEJORA DE LA WEB (SOBRE LA WEB ACTUAL DEL CLIENTE)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Segoe UI Symbol" w:cs="Segoe UI Symbol" w:eastAsia="Segoe UI Symbol" w:hAnsi="Segoe UI Symbol"/>
          <w:color w:val="7A5C22"/>
          <w:sz w:val="21"/>
          <w:szCs w:val="21"/>
        </w:rPr>
        <w:t xml:space="preserve">☐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Versión que conserva su estilo actual.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Segoe UI Symbol" w:cs="Segoe UI Symbol" w:eastAsia="Segoe UI Symbol" w:hAnsi="Segoe UI Symbol"/>
          <w:color w:val="7A5C22"/>
          <w:sz w:val="21"/>
          <w:szCs w:val="21"/>
        </w:rPr>
        <w:t xml:space="preserve">☐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Versión mejorada (mismos colores y logo, con mejor jerarquía y legibilidad).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Reorganización de la página de inicio, claridad del mensaje principal, versión móvil y doble vía de contacto (formulario, WhatsApp y asistente).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Número de rondas de revisión incluidas: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spacing w:after="60"/>
      </w:pPr>
      <w:r>
        <w:rPr>
          <w:rFonts w:ascii="Consolas" w:cs="Consolas" w:eastAsia="Consolas" w:hAnsi="Consolas"/>
          <w:color w:val="7A5C22"/>
          <w:spacing w:val="40"/>
          <w:sz w:val="16"/>
          <w:szCs w:val="16"/>
        </w:rPr>
        <w:t xml:space="preserve">B. ASISTENTE VIRTUAL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Atención en la web las 24 horas, con preguntas guiadas y texto libre.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Recogida de los datos necesarios para la primera consulta: nombre, teléfono, tipo de caso, resumen, plazos y día preferido.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Marcado de casos con plazo urgente según las reglas acordadas con el Cliente.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Reserva de la primera consulta en el Google Calendar del Cliente, con la disponibilidad real.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Aviso por correo electrónico al Cliente y panel con los casos recibidos, estados y notas.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Opción de hablar con una persona.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Formación de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minutos y revisión de las primeras conversaciones durante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semanas.</w:t>
      </w:r>
    </w:p>
    <w:p>
      <w:pPr>
        <w:spacing w:after="60"/>
      </w:pPr>
      <w:r>
        <w:rPr>
          <w:rFonts w:ascii="Consolas" w:cs="Consolas" w:eastAsia="Consolas" w:hAnsi="Consolas"/>
          <w:color w:val="7A5C22"/>
          <w:spacing w:val="40"/>
          <w:sz w:val="16"/>
          <w:szCs w:val="16"/>
        </w:rPr>
        <w:t xml:space="preserve">C. FICHA DE GOOGLE (OPCIONAL)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Segoe UI Symbol" w:cs="Segoe UI Symbol" w:eastAsia="Segoe UI Symbol" w:hAnsi="Segoe UI Symbol"/>
          <w:color w:val="7A5C22"/>
          <w:sz w:val="21"/>
          <w:szCs w:val="21"/>
        </w:rPr>
        <w:t xml:space="preserve">☐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Optimización inicial de la ficha de Google Business Profile del Cliente (una sola vez), con revisión mensual de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minutos.</w:t>
      </w:r>
    </w:p>
    <w:p>
      <w:pPr>
        <w:spacing w:after="60"/>
      </w:pPr>
      <w:r>
        <w:rPr>
          <w:rFonts w:ascii="Consolas" w:cs="Consolas" w:eastAsia="Consolas" w:hAnsi="Consolas"/>
          <w:color w:val="7A5C22"/>
          <w:spacing w:val="40"/>
          <w:sz w:val="16"/>
          <w:szCs w:val="16"/>
        </w:rPr>
        <w:t xml:space="preserve">D. MANTENIMIENTO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Alojamiento y funcionamiento del asistente, y hasta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horas al mes de pequeños cambios.</w:t>
      </w:r>
    </w:p>
    <w:p>
      <w:pPr>
        <w:keepNext/>
        <w:pBdr>
          <w:bottom w:val="single" w:color="C9A66B" w:sz="6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0B1426"/>
          <w:sz w:val="28"/>
          <w:szCs w:val="28"/>
        </w:rPr>
        <w:t xml:space="preserve">3. Lo que no incluye este contrato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asistente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 presta asesoramiento jurídico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no valora la viabilidad de ningún caso, no estima cantidades a recuperar ni informa de honorarios. Solo recoge datos para que un abogado del Cliente atienda la primera consulta.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WhatsApp automatizado, Instagram, llamadas de voz, recordatorios automáticos y seguimiento automático, salvo acuerdo posterior por escrito.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Garantía de posicionamiento en buscadores, de número de llamadas o de clientes.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Redacción de contenidos jurídicos ni de nuevas páginas de servicios, gestión de anuncios, ni cambios de identidad (logo o paleta nuevos).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Integración con programas de gestión de expedientes o CRM.</w:t>
      </w:r>
    </w:p>
    <w:p>
      <w:pPr>
        <w:spacing w:after="110" w:line="300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Cualquier servicio adicional se presupuesta por separado y por escrito.</w:t>
      </w:r>
    </w:p>
    <w:p>
      <w:pPr>
        <w:keepNext/>
        <w:pBdr>
          <w:bottom w:val="single" w:color="C9A66B" w:sz="6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0B1426"/>
          <w:sz w:val="28"/>
          <w:szCs w:val="28"/>
        </w:rPr>
        <w:t xml:space="preserve">4. Plazos de ejecución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Inicio: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(una vez firmado el contrato y recibidos los accesos).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Publicación de la web mejorada y del asistente: antes del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Si el Cliente tarda más de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días en entregar accesos, contenidos o revisiones, los plazos se amplían en el mismo tiempo.</w:t>
      </w:r>
    </w:p>
    <w:p>
      <w:pPr>
        <w:keepNext/>
        <w:pBdr>
          <w:bottom w:val="single" w:color="C9A66B" w:sz="6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0B1426"/>
          <w:sz w:val="28"/>
          <w:szCs w:val="28"/>
        </w:rPr>
        <w:t xml:space="preserve">5. Precio y forma de pago</w:t>
      </w:r>
    </w:p>
    <w:p>
      <w:pPr>
        <w:spacing w:after="110" w:line="300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Importes sin IVA. El IVA aplicable (21 %, salvo que corresponda otro tipo) se añade en factura.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cantSplit/>
          <w:tblHeader/>
        </w:trPr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0B14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9A66B"/>
                <w:sz w:val="19"/>
                <w:szCs w:val="19"/>
              </w:rPr>
              <w:t xml:space="preserve">Concepto</w:t>
            </w:r>
          </w:p>
        </w:tc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0B14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9A66B"/>
                <w:sz w:val="19"/>
                <w:szCs w:val="19"/>
              </w:rPr>
              <w:t xml:space="preserve">Importe</w:t>
            </w:r>
          </w:p>
        </w:tc>
      </w:tr>
      <w:tr>
        <w:trPr>
          <w:cantSplit/>
          <w:tblHeader w:val="off"/>
        </w:trPr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Alta (pago único)</w:t>
            </w:r>
          </w:p>
        </w:tc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7A5C22"/>
                <w:sz w:val="20"/>
                <w:szCs w:val="20"/>
              </w:rPr>
              <w:t xml:space="preserve">[..........]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€</w:t>
            </w:r>
          </w:p>
        </w:tc>
      </w:tr>
      <w:tr>
        <w:trPr>
          <w:cantSplit/>
          <w:tblHeader w:val="off"/>
        </w:trPr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4F1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Cuota mensual (asistente, alojamiento y mantenimiento)</w:t>
            </w:r>
          </w:p>
        </w:tc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4F1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7A5C22"/>
                <w:sz w:val="20"/>
                <w:szCs w:val="20"/>
              </w:rPr>
              <w:t xml:space="preserve">[..........]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€ / mes</w:t>
            </w:r>
          </w:p>
        </w:tc>
      </w:tr>
      <w:tr>
        <w:trPr>
          <w:cantSplit/>
          <w:tblHeader w:val="off"/>
        </w:trPr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Servicios adicionales aceptados por escrito</w:t>
            </w:r>
          </w:p>
        </w:tc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7A5C22"/>
                <w:sz w:val="20"/>
                <w:szCs w:val="20"/>
              </w:rPr>
              <w:t xml:space="preserve">[..........]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€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Alta: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% a la firma y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% a la publicación.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Cuota mensual: por adelantado, el día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de cada mes, mediante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(transferencia / domiciliación).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Facturas pagaderas a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días. Si una factura lleva impagada más de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días, la Prestadora podrá suspender el asistente tras avisar por escrito con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días de antelación.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Segoe UI Symbol" w:cs="Segoe UI Symbol" w:eastAsia="Segoe UI Symbol" w:hAnsi="Segoe UI Symbol"/>
          <w:color w:val="7A5C22"/>
          <w:sz w:val="21"/>
          <w:szCs w:val="21"/>
        </w:rPr>
        <w:t xml:space="preserve">☐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El precio de alta pactado es un precio especial condicionado a la cláusula 13 (caso de éxito). Si el Cliente no la cumple, la Prestadora podrá facturar la diferencia hasta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€.</w:t>
      </w:r>
    </w:p>
    <w:p>
      <w:pPr>
        <w:keepNext/>
        <w:pBdr>
          <w:bottom w:val="single" w:color="C9A66B" w:sz="6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0B1426"/>
          <w:sz w:val="28"/>
          <w:szCs w:val="28"/>
        </w:rPr>
        <w:t xml:space="preserve">6. Duración y terminación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Duración inicial: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meses desde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Se prorroga automáticamente por periodos de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meses, salvo aviso por escrito con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días de antelación.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Cualquiera de las partes puede resolver el contrato por incumplimiento grave de la otra, avisando por escrito y concediendo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días para subsanarlo.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Al terminar: el asistente se desactiva; la web mejorada y los contenidos del Cliente quedan en poder del Cliente; la Prestadora entrega una copia de los casos recogidos en formato CSV en un plazo de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días y después los suprime, salvo obligación legal de conservarlos.</w:t>
      </w:r>
    </w:p>
    <w:p>
      <w:pPr>
        <w:keepNext/>
        <w:pBdr>
          <w:bottom w:val="single" w:color="C9A66B" w:sz="6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0B1426"/>
          <w:sz w:val="28"/>
          <w:szCs w:val="28"/>
        </w:rPr>
        <w:t xml:space="preserve">7. Obligaciones del Cliente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Facilitar a tiempo los accesos a la web, un calendario de Google compartido con la cuenta indicada y un correo para los avisos.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Entregar los textos y el material gráfico, y revisar que los contenidos y mensajes de la web y del asistente cumplen las normas de publicidad y deontología de la abogacía aplicables.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Informar a las personas que usan el asistente mediante un aviso de privacidad visible (la Prestadora facilita el texto base, que el Cliente debe revisar).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Comunicar a la Prestadora los cambios de horario, de calendario o de reglas de prioridad.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Atender las consultas recibidas y confirmar las citas.</w:t>
      </w:r>
    </w:p>
    <w:p>
      <w:pPr>
        <w:keepNext/>
        <w:pBdr>
          <w:bottom w:val="single" w:color="C9A66B" w:sz="6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0B1426"/>
          <w:sz w:val="28"/>
          <w:szCs w:val="28"/>
        </w:rPr>
        <w:t xml:space="preserve">8. Obligaciones de la Prestadora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Prestar los servicios con la diligencia profesional debida y según lo acordado.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Mantener el asistente en funcionamiento y atender las incidencias en un plazo de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días hábiles.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Guardar confidencialidad sobre la información del Cliente y de las personas que consultan.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Avisar al Cliente de cualquier incidencia de seguridad que afecte a sus datos.</w:t>
      </w:r>
    </w:p>
    <w:p>
      <w:pPr>
        <w:keepNext/>
        <w:pBdr>
          <w:bottom w:val="single" w:color="C9A66B" w:sz="6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0B1426"/>
          <w:sz w:val="28"/>
          <w:szCs w:val="28"/>
        </w:rPr>
        <w:t xml:space="preserve">9. Propiedad intelectual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Los textos, imágenes, logotipo y marca del Cliente siguen siendo del Cliente.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diseño de la web mejorada realizado a medida para el Cliente pasa a ser del Cliente una vez pagada el alta.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software del asistente, su configuración base y la marca AI Lead Machine son de la Prestadora. El Cliente recibe una licencia de uso no exclusiva e intransferible mientras el contrato esté vigente.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asistente utiliza servicios de terceros (como OpenAI, Google y el proveedor de alojamiento) sujetos a sus propias condiciones.</w:t>
      </w:r>
    </w:p>
    <w:p>
      <w:pPr>
        <w:keepNext/>
        <w:pBdr>
          <w:bottom w:val="single" w:color="C9A66B" w:sz="6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0B1426"/>
          <w:sz w:val="28"/>
          <w:szCs w:val="28"/>
        </w:rPr>
        <w:t xml:space="preserve">10. Protección de datos personales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Respecto de los datos de las personas que usan el asistente, el Cliente es el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responsable del tratamiento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y la Prestadora es la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encargada del tratamiento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conforme al artículo 28 del Reglamento (UE) 2016/679 (RGPD) y a la Ley Orgánica 3/2018.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Prestadora tratará los datos solo para prestar el servicio y siguiendo las instrucciones del Cliente. Las condiciones del encargo están en el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Anexo I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que forma parte de este contrato.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Cliente es responsable de informar a las personas usuarias y de contar con una base legal para tratar sus datos.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Prestadora tratará sus propios datos de contacto y de facturación del Cliente para ejecutar el contrato.</w:t>
      </w:r>
    </w:p>
    <w:p>
      <w:pPr>
        <w:keepNext/>
        <w:pBdr>
          <w:bottom w:val="single" w:color="C9A66B" w:sz="6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0B1426"/>
          <w:sz w:val="28"/>
          <w:szCs w:val="28"/>
        </w:rPr>
        <w:t xml:space="preserve">11. Secreto profesional y confidencialidad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asistente está diseñado para recoger solo los datos mínimos para la primera consulta. El Cliente decidirá qué preguntas se incluyen y debe evitar pedir datos más allá de lo necesario.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Ambas partes guardarán confidencialidad sobre la información recibida de la otra durante la vigencia del contrato y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años después.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Prestadora no podrá usar, ceder ni vender los datos de las personas que consultan, ni utilizarlos para entrenar modelos.</w:t>
      </w:r>
    </w:p>
    <w:p>
      <w:pPr>
        <w:keepNext/>
        <w:pBdr>
          <w:bottom w:val="single" w:color="C9A66B" w:sz="6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0B1426"/>
          <w:sz w:val="28"/>
          <w:szCs w:val="28"/>
        </w:rPr>
        <w:t xml:space="preserve">12. Uso de inteligencia artificial y responsabilidad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asistente utiliza inteligencia artificial para entender mensajes y recoger datos. Puede cometer errores de interpretación, por lo que el Cliente revisa cada caso antes de actuar.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Cliente sigue siendo el único responsable del asesoramiento jurídico que presta y de sus decisiones profesionales.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responsabilidad de la Prestadora se limita al importe efectivamente pagado por el Cliente en los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meses anteriores al hecho, salvo dolo o negligencia grave.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Prestadora no responde de interrupciones ajenas a su control (por ejemplo, caídas de Google, OpenAI o del proveedor de alojamiento).</w:t>
      </w:r>
    </w:p>
    <w:p>
      <w:pPr>
        <w:keepNext/>
        <w:pBdr>
          <w:bottom w:val="single" w:color="C9A66B" w:sz="6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0B1426"/>
          <w:sz w:val="28"/>
          <w:szCs w:val="28"/>
        </w:rPr>
        <w:t xml:space="preserve">13. Caso de éxito (opcional)</w:t>
      </w:r>
    </w:p>
    <w:p>
      <w:pPr>
        <w:spacing w:after="110" w:line="300"/>
        <w:jc w:val="both"/>
      </w:pPr>
      <w:r>
        <w:rPr>
          <w:rFonts w:ascii="Segoe UI Symbol" w:cs="Segoe UI Symbol" w:eastAsia="Segoe UI Symbol" w:hAnsi="Segoe UI Symbol"/>
          <w:color w:val="7A5C22"/>
          <w:sz w:val="21"/>
          <w:szCs w:val="21"/>
        </w:rPr>
        <w:t xml:space="preserve">☐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El Cliente autoriza a la Prestadora a mencionar su nombre y logotipo y, en su caso, un testimonio aprobado por escrito por el Cliente, como referencia comercial durante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años. El Cliente puede retirar esta autorización con aviso por escrito.</w:t>
      </w:r>
    </w:p>
    <w:p>
      <w:pPr>
        <w:keepNext/>
        <w:pBdr>
          <w:bottom w:val="single" w:color="C9A66B" w:sz="6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0B1426"/>
          <w:sz w:val="28"/>
          <w:szCs w:val="28"/>
        </w:rPr>
        <w:t xml:space="preserve">14. Comunicaciones</w:t>
      </w:r>
    </w:p>
    <w:p>
      <w:pPr>
        <w:spacing w:after="110" w:line="300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Las comunicaciones se harán por escrito a los correos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[..........................]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(Prestadora) y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[..........................]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(Cliente).</w:t>
      </w:r>
    </w:p>
    <w:p>
      <w:pPr>
        <w:keepNext/>
        <w:pBdr>
          <w:bottom w:val="single" w:color="C9A66B" w:sz="6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0B1426"/>
          <w:sz w:val="28"/>
          <w:szCs w:val="28"/>
        </w:rPr>
        <w:t xml:space="preserve">15. Ley aplicable y jurisdicción</w:t>
      </w:r>
    </w:p>
    <w:p>
      <w:pPr>
        <w:spacing w:after="110" w:line="300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Este contrato se rige por la ley española. Para cualquier controversia, las partes se someten a los juzgados y tribunales de </w:t>
      </w:r>
      <w:r>
        <w:rPr>
          <w:rFonts w:ascii="Calibri" w:cs="Calibri" w:eastAsia="Calibri" w:hAnsi="Calibri"/>
          <w:color w:val="7A5C22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salvo que la ley imponga otro fuero.</w:t>
      </w:r>
    </w:p>
    <w:p>
      <w:pPr>
        <w:keepNext/>
        <w:pBdr>
          <w:bottom w:val="single" w:color="C9A66B" w:sz="6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0B1426"/>
          <w:sz w:val="28"/>
          <w:szCs w:val="28"/>
        </w:rPr>
        <w:t xml:space="preserve">Firmas</w:t>
      </w:r>
    </w:p>
    <w:p>
      <w:pPr>
        <w:spacing w:after="110" w:line="300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Y en prueba de conformidad, firman por duplicado, en el lugar y fecha indicados al inicio.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pPr>
              <w:spacing w:after="480"/>
            </w:pPr>
            <w:r>
              <w:rPr>
                <w:rFonts w:ascii="Consolas" w:cs="Consolas" w:eastAsia="Consolas" w:hAnsi="Consolas"/>
                <w:color w:val="7A5C22"/>
                <w:spacing w:val="40"/>
                <w:sz w:val="16"/>
                <w:szCs w:val="16"/>
              </w:rPr>
              <w:t xml:space="preserve">POR LA PRESTADORA</w:t>
            </w:r>
          </w:p>
          <w:p>
            <w:pPr>
              <w:pBdr>
                <w:top w:val="single" w:color="0B1426" w:sz="6" w:space="4"/>
              </w:pBd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0B1426"/>
                <w:sz w:val="23"/>
                <w:szCs w:val="23"/>
              </w:rPr>
              <w:t xml:space="preserve">Viviana Andrea Acero Pulido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F596B"/>
                <w:sz w:val="19"/>
                <w:szCs w:val="19"/>
              </w:rPr>
              <w:t xml:space="preserve">Prestadora · AI Lead Machine</w:t>
            </w:r>
          </w:p>
          <w:p>
            <w:r>
              <w:rPr>
                <w:rFonts w:ascii="Calibri" w:cs="Calibri" w:eastAsia="Calibri" w:hAnsi="Calibri"/>
                <w:color w:val="7A5C22"/>
                <w:sz w:val="19"/>
                <w:szCs w:val="19"/>
              </w:rPr>
              <w:t xml:space="preserve">Fecha: [..............]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pPr>
              <w:spacing w:after="480"/>
            </w:pPr>
            <w:r>
              <w:rPr>
                <w:rFonts w:ascii="Consolas" w:cs="Consolas" w:eastAsia="Consolas" w:hAnsi="Consolas"/>
                <w:color w:val="7A5C22"/>
                <w:spacing w:val="40"/>
                <w:sz w:val="16"/>
                <w:szCs w:val="16"/>
              </w:rPr>
              <w:t xml:space="preserve">POR EL CLIENTE</w:t>
            </w:r>
          </w:p>
          <w:p>
            <w:pPr>
              <w:pBdr>
                <w:top w:val="single" w:color="0B1426" w:sz="6" w:space="4"/>
              </w:pBd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0B1426"/>
                <w:sz w:val="23"/>
                <w:szCs w:val="23"/>
              </w:rPr>
              <w:t xml:space="preserve">Martínez-Matilla Abogados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F596B"/>
                <w:sz w:val="19"/>
                <w:szCs w:val="19"/>
              </w:rPr>
              <w:t xml:space="preserve">Representante: [....................]</w:t>
            </w:r>
          </w:p>
          <w:p>
            <w:r>
              <w:rPr>
                <w:rFonts w:ascii="Calibri" w:cs="Calibri" w:eastAsia="Calibri" w:hAnsi="Calibri"/>
                <w:color w:val="7A5C22"/>
                <w:sz w:val="19"/>
                <w:szCs w:val="19"/>
              </w:rPr>
              <w:t xml:space="preserve">Fecha: [..............]</w:t>
            </w:r>
          </w:p>
        </w:tc>
      </w:tr>
    </w:tbl>
    <w:p>
      <w:pPr>
        <w:pageBreakBefore/>
      </w:pPr>
    </w:p>
    <w:p>
      <w:pPr>
        <w:spacing w:after="40"/>
      </w:pPr>
      <w:r>
        <w:rPr>
          <w:rFonts w:ascii="Consolas" w:cs="Consolas" w:eastAsia="Consolas" w:hAnsi="Consolas"/>
          <w:color w:val="7A5C22"/>
          <w:spacing w:val="40"/>
          <w:sz w:val="16"/>
          <w:szCs w:val="16"/>
        </w:rPr>
        <w:t xml:space="preserve">ANEXO I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0B1426"/>
          <w:sz w:val="36"/>
          <w:szCs w:val="36"/>
        </w:rPr>
        <w:t xml:space="preserve">Encargo de tratamiento de datos (art. 28 RGPD)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0B14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9A66B"/>
                <w:sz w:val="19"/>
                <w:szCs w:val="19"/>
              </w:rPr>
              <w:t xml:space="preserve">Apartado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0B142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9A66B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Martínez-Matilla Abogados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4F1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Encargada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4F1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Viviana Andrea Acero Pulido (AI Lead Machine)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Objeto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Alojar y operar el asistente virtual que recoge datos para reservar primeras consultas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4F1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Duración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4F1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del contrato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Finalidad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Atender consultas, preparar y reservar primeras consultas, avisar al Cliente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4F1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Tipos de datos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4F1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Identificación y contacto, tipo de caso, resumen, plazos, entidad financiera y documentación disponible </w:t>
            </w:r>
            <w:r>
              <w:rPr>
                <w:rFonts w:ascii="Calibri" w:cs="Calibri" w:eastAsia="Calibri" w:hAnsi="Calibri"/>
                <w:color w:val="7A5C22"/>
                <w:sz w:val="20"/>
                <w:szCs w:val="20"/>
              </w:rPr>
              <w:t xml:space="preserve">[..............]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Interesados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Personas que consultan al despacho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4F1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Categorías especiales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4F1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7A5C22"/>
                <w:sz w:val="20"/>
                <w:szCs w:val="20"/>
              </w:rPr>
              <w:t xml:space="preserve">[..............]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(el Cliente decide si se recogen; se recomienda evitarlas)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Subencargados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OpenAI (procesamiento de texto), Google (calendario), proveedor de alojamiento </w:t>
            </w:r>
            <w:r>
              <w:rPr>
                <w:rFonts w:ascii="Calibri" w:cs="Calibri" w:eastAsia="Calibri" w:hAnsi="Calibri"/>
                <w:color w:val="7A5C22"/>
                <w:sz w:val="20"/>
                <w:szCs w:val="20"/>
              </w:rPr>
              <w:t xml:space="preserve">[..............]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, proveedor de correo </w:t>
            </w:r>
            <w:r>
              <w:rPr>
                <w:rFonts w:ascii="Calibri" w:cs="Calibri" w:eastAsia="Calibri" w:hAnsi="Calibri"/>
                <w:color w:val="7A5C22"/>
                <w:sz w:val="20"/>
                <w:szCs w:val="20"/>
              </w:rPr>
              <w:t xml:space="preserve">[..............]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4F1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Transferencias internacionales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4F1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 las garantías del RGPD (cláusulas contractuales tipo u otras equivalentes): </w:t>
            </w:r>
            <w:r>
              <w:rPr>
                <w:rFonts w:ascii="Calibri" w:cs="Calibri" w:eastAsia="Calibri" w:hAnsi="Calibri"/>
                <w:color w:val="7A5C22"/>
                <w:sz w:val="20"/>
                <w:szCs w:val="20"/>
              </w:rPr>
              <w:t xml:space="preserve">[..............]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Medidas de seguridad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Acceso con clave al panel, cifrado en tránsito, copias y acceso limitado: </w:t>
            </w:r>
            <w:r>
              <w:rPr>
                <w:rFonts w:ascii="Calibri" w:cs="Calibri" w:eastAsia="Calibri" w:hAnsi="Calibri"/>
                <w:color w:val="7A5C22"/>
                <w:sz w:val="20"/>
                <w:szCs w:val="20"/>
              </w:rPr>
              <w:t xml:space="preserve">[..............]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4F1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Brechas de seguridad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4F1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Aviso al Cliente sin dilación indebida y como máximo en </w:t>
            </w:r>
            <w:r>
              <w:rPr>
                <w:rFonts w:ascii="Calibri" w:cs="Calibri" w:eastAsia="Calibri" w:hAnsi="Calibri"/>
                <w:color w:val="7A5C22"/>
                <w:sz w:val="20"/>
                <w:szCs w:val="20"/>
              </w:rPr>
              <w:t xml:space="preserve">[....]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horas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Derechos de las personas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Prestadora ayuda al Cliente a atender ejercicios de derechos en </w:t>
            </w:r>
            <w:r>
              <w:rPr>
                <w:rFonts w:ascii="Calibri" w:cs="Calibri" w:eastAsia="Calibri" w:hAnsi="Calibri"/>
                <w:color w:val="7A5C22"/>
                <w:sz w:val="20"/>
                <w:szCs w:val="20"/>
              </w:rPr>
              <w:t xml:space="preserve">[....]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días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4F1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del encargo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4F1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Devolución de los datos en CSV y supresión en </w:t>
            </w:r>
            <w:r>
              <w:rPr>
                <w:rFonts w:ascii="Calibri" w:cs="Calibri" w:eastAsia="Calibri" w:hAnsi="Calibri"/>
                <w:color w:val="7A5C22"/>
                <w:sz w:val="20"/>
                <w:szCs w:val="20"/>
              </w:rPr>
              <w:t xml:space="preserve">[....]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días, salvo obligación legal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700" w:right="1134" w:bottom="1300" w:left="1134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66B" w:sz="4" w:space="6"/>
      </w:pBdr>
      <w:tabs>
        <w:tab w:val="right" w:pos="9638"/>
      </w:tabs>
    </w:pPr>
    <w:r>
      <w:rPr>
        <w:rFonts w:ascii="Calibri" w:cs="Calibri" w:eastAsia="Calibri" w:hAnsi="Calibri"/>
        <w:color w:val="4F596B"/>
        <w:sz w:val="16"/>
        <w:szCs w:val="16"/>
      </w:rPr>
      <w:t xml:space="preserve">AI Lead Machine · Viviana Andrea Acero Pulido  |  Martínez-Matilla Abogados</w:t>
    </w:r>
    <w:r>
      <w:rPr>
        <w:rFonts w:ascii="Calibri" w:cs="Calibri" w:eastAsia="Calibri" w:hAnsi="Calibri"/>
        <w:color w:val="4F596B"/>
        <w:sz w:val="16"/>
        <w:szCs w:val="16"/>
      </w:rPr>
      <w:t xml:space="preserve">	Página </w:t>
    </w:r>
    <w:r>
      <w:rPr>
        <w:rFonts w:ascii="Calibri" w:cs="Calibri" w:eastAsia="Calibri" w:hAnsi="Calibri"/>
        <w:color w:val="4F59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F596B"/>
        <w:sz w:val="16"/>
        <w:szCs w:val="16"/>
      </w:rPr>
      <w:t xml:space="preserve"> de </w:t>
    </w:r>
    <w:r>
      <w:rPr>
        <w:rFonts w:ascii="Calibri" w:cs="Calibri" w:eastAsia="Calibri" w:hAnsi="Calibri"/>
        <w:color w:val="4F59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200"/>
      <w:gridCol w:w="4438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B1426" w:color="auto" w:val="clear"/>
          <w:tcMar>
            <w:top w:type="dxa" w:w="110"/>
            <w:left w:type="dxa" w:w="200"/>
            <w:bottom w:type="dxa" w:w="110"/>
            <w:right w:type="dxa" w:w="100"/>
          </w:tcMar>
          <w:vAlign w:val="center"/>
        </w:tcPr>
        <w:p>
          <w:r>
            <w:drawing>
              <wp:inline distT="0" distB="0" distL="0" distR="0">
                <wp:extent cx="1809750" cy="342900"/>
                <wp:effectExtent t="0" r="0" b="0" l="0"/>
                <wp:docPr id="1" name="logo" descr="Logotipo" title="AI Lead Mach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975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B1426" w:color="auto" w:val="clear"/>
          <w:tcMar>
            <w:top w:type="dxa" w:w="110"/>
            <w:left w:type="dxa" w:w="100"/>
            <w:bottom w:type="dxa" w:w="11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Consolas" w:cs="Consolas" w:eastAsia="Consolas" w:hAnsi="Consolas"/>
              <w:color w:val="C9A66B"/>
              <w:spacing w:val="30"/>
              <w:sz w:val="15"/>
              <w:szCs w:val="15"/>
            </w:rPr>
            <w:t xml:space="preserve">CONTRATO DE PRESTACIÓN DE SERVICIOS</w:t>
          </w:r>
        </w:p>
      </w:tc>
    </w:tr>
  </w:tbl>
  <w:p>
    <w:pPr>
      <w:pBdr>
        <w:top w:val="single" w:color="C9A66B" w:sz="18" w:space="0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40" w:hanging="300"/>
      </w:pPr>
      <w:rPr>
        <w:b/>
        <w:bCs/>
        <w:color w:val="C9A6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ed2e887384f874edce03bf908c0cd8e1ac4c88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prestación de servicios · Martínez-Matilla Abogados</dc:title>
  <dc:creator>AI Lead Machine</dc:creator>
  <cp:lastModifiedBy>Un-named</cp:lastModifiedBy>
  <cp:revision>1</cp:revision>
  <dcterms:created xsi:type="dcterms:W3CDTF">2026-10-09T07:21:33.710Z</dcterms:created>
  <dcterms:modified xsi:type="dcterms:W3CDTF">2026-10-09T07:21:33.710Z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