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DOCUMENTO · MODELO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50"/>
          <w:szCs w:val="50"/>
        </w:rPr>
        <w:t xml:space="preserve">Contrato de prestación de servicios</w:t>
      </w:r>
    </w:p>
    <w:p>
      <w:pPr>
        <w:pBdr>
          <w:left w:val="single" w:color="9CA3AF" w:sz="24" w:space="8"/>
        </w:pBdr>
        <w:shd w:fill="F3F4F6" w:color="auto" w:val="clear"/>
        <w:spacing w:after="20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Modelo orientativo. Rellena los espacios en blanco y marca las casillas ☐ que apliquen. Antes de firmar, que lo revise un abogado: contiene cláusulas de protección de datos y de responsabilidad que dependen de cada caso.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Reunidos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una parte, la PRESTADORA: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Viviana Andrea Acero Pulido, con NIF/NIE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domicilio en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que actúa con la marca comercial AI Lead Machine (en adelante, la «Prestadora»).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otra parte, el CLIENTE: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Martínez-Matilla Abogados, forma jurídica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con NIF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domicilio en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representado por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en calidad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(en adelante, el «Cliente»).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Ambas partes se reconocen capacidad legal suficiente y acuerdan este contrato.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 Objeto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presta al Cliente los servicios descritos en la cláusula 2: la mejora de su web actual (martinezmatilla.com) y la puesta en marcha de un asistente virtual de atención y reserva de primeras consultas, con el mantenimiento acordado.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 Servicios incluidos</w:t>
      </w:r>
    </w:p>
    <w:p>
      <w:pPr>
        <w:spacing w:after="6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A. MEJORA DE LA WEB (SOBRE LA WEB ACTUAL DEL CLIENTE)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374151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Versión que conserva su estilo actual.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374151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Versión mejorada (mismos colores y logo, con mejor jerarquía y legibilidad).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Reorganización de la página de inicio, claridad del mensaje principal, versión móvil y doble vía de contacto (formulario, WhatsApp y asistente).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Número de rondas de revisión incluidas: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6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B. ASISTENTE VIRTUAL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Atención en la web las 24 horas, con preguntas guiadas y texto libre.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Recogida de los datos necesarios para la primera consulta: nombre, teléfono, tipo de caso, resumen, plazos y día preferido.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Marcado de casos con plazo urgente según las reglas acordadas con el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Reserva de la primera consulta en el Google Calendar del Cliente, con la disponibilidad real.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Aviso por correo electrónico al Cliente y panel con los casos recibidos, estados y notas.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Opción de hablar con una persona.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Formación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minutos y revisión de las primeras conversaciones durante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semanas.</w:t>
      </w:r>
    </w:p>
    <w:p>
      <w:pPr>
        <w:spacing w:after="6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C. FICHA DE GOOGLE (OPCIONAL)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374151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Optimización inicial de la ficha de Google Business Profile del Cliente (una sola vez), con revisión mensual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minutos.</w:t>
      </w:r>
    </w:p>
    <w:p>
      <w:pPr>
        <w:spacing w:after="6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D. MANTENIMIENTO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Alojamiento y funcionamiento del asistente, y hasta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horas al mes de pequeños cambios.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 Lo que no incluye este contrato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presta asesoramiento jurídico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no valora la viabilidad de ningún caso, no estima cantidades a recuperar ni informa de honorarios. Solo recoge datos para que un abogado del Cliente atienda la primera consulta.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WhatsApp automatizado, Instagram, llamadas de voz, recordatorios automáticos y seguimiento automático, salvo acuerdo posterior por escrito.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Garantía de posicionamiento en buscadores, de número de llamadas o de clientes.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Redacción de contenidos jurídicos ni de nuevas páginas de servicios, gestión de anuncios, ni cambios de identidad (logo o paleta nuevos).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Integración con programas de gestión de expedientes o CRM.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Cualquier servicio adicional se presupuesta por separado y por escrito.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 Plazos de ejecución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Inicio: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(una vez firmado el contrato y recibidos los accesos).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Publicación de la web mejorada y del asistente: antes del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 el Cliente tarda más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en entregar accesos, contenidos o revisiones, los plazos se amplían en el mismo tiempo.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 Precio y forma de pago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Importes sin IVA. El IVA aplicable (21 %, salvo que corresponda otro tipo) se añade en factura.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1F293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1F293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Importe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Alta (pago único)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Cuota mensual (asistente, alojamiento y mantenimiento)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 / mes</w:t>
            </w:r>
          </w:p>
        </w:tc>
      </w:tr>
      <w:tr>
        <w:trPr>
          <w:cantSplit/>
          <w:tblHeader w:val="off"/>
        </w:trPr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Servicios adicionales aceptados por escrito</w:t>
            </w:r>
          </w:p>
        </w:tc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€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Alta: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% a la firma y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% a la publicación.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Cuota mensual: por adelantado, el día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de cada mes, mediante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(transferencia / domiciliación).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Facturas pagaderas 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días. Si una factura lleva impagada más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días, la Prestadora podrá suspender el asistente tras avisar por escrito con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de antelación.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Segoe UI Symbol" w:cs="Segoe UI Symbol" w:eastAsia="Segoe UI Symbol" w:hAnsi="Segoe UI Symbol"/>
          <w:color w:val="374151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precio de alta pactado es un precio especial condicionado a la cláusula 13 (caso de éxito). Si el Cliente no la cumple, la Prestadora podrá facturar la diferencia hasta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€.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 Duración y terminación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Duración inicial: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 desde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prorroga automáticamente por periodos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meses, salvo aviso por escrito con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de antelación.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Cualquiera de las partes puede resolver el contrato por incumplimiento grave de la otra, avisando por escrito y concediendo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para subsanarlo.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 terminar: el asistente se desactiva; la web mejorada y los contenidos del Cliente quedan en poder del Cliente; la Prestadora entrega una copia de los casos recogidos en formato CSV en un plazo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y después los suprime, salvo obligación legal de conservarlos.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7. Obligaciones del Cliente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Facilitar a tiempo los accesos a la web, un calendario de Google compartido con la cuenta indicada y un correo para los avisos.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Entregar los textos y el material gráfico, y revisar que los contenidos y mensajes de la web y del asistente cumplen las normas de publicidad y deontología de la abogacía aplicables.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Informar a las personas que usan el asistente mediante un aviso de privacidad visible (la Prestadora facilita el texto base, que el Cliente debe revisar).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Comunicar a la Prestadora los cambios de horario, de calendario o de reglas de prioridad.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Atender las consultas recibidas y confirmar las citas.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8. Obligaciones de la Prestadora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Prestar los servicios con la diligencia profesional debida y según lo acordado.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Mantener el asistente en funcionamiento y atender las incidencias en un plazo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días hábiles.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Guardar confidencialidad sobre la información del Cliente y de las personas que consultan.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Avisar al Cliente de cualquier incidencia de seguridad que afecte a sus datos.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9. Propiedad intelectual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textos, imágenes, logotipo y marca del Cliente siguen siendo del Cliente.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diseño de la web mejorada realizado a medida para el Cliente pasa a ser del Cliente una vez pagada el alta.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software del asistente, su configuración base y la marca AI Lead Machine son de la Prestadora. El Cliente recibe una licencia de uso no exclusiva e intransferible mientras el contrato esté vigente.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utiliza servicios de terceros (como OpenAI, Google y el proveedor de alojamiento) sujetos a sus propias condiciones.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10. Protección de datos personales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Respecto de los datos de las personas que usan el asistente, el Cliente es el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responsable del tratamiento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la Prestadora es 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encargada del tratamiento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conforme al artículo 28 del Reglamento (UE) 2016/679 (RGPD) y a la Ley Orgánica 3/2018.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tratará los datos solo para prestar el servicio y siguiendo las instrucciones del Cliente. Las condiciones del encargo están en el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Anexo I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que forma parte de este contrato.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Cliente es responsable de informar a las personas usuarias y de contar con una base legal para tratar sus datos.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tratará sus propios datos de contacto y de facturación del Cliente para ejecutar el contrato.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11. Secreto profesional y confidencialidad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está diseñado para recoger solo los datos mínimos para la primera consulta. El Cliente decidirá qué preguntas se incluyen y debe evitar pedir datos más allá de lo necesario.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Ambas partes guardarán confidencialidad sobre la información recibida de la otra durante la vigencia del contrato y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años después.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no podrá usar, ceder ni vender los datos de las personas que consultan, ni utilizarlos para entrenar modelos.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12. Uso de inteligencia artificial y responsabilidad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asistente utiliza inteligencia artificial para entender mensajes y recoger datos. Puede cometer errores de interpretación, por lo que el Cliente revisa cada caso antes de actuar.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Cliente sigue siendo el único responsable del asesoramiento jurídico que presta y de sus decisiones profesionales.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responsabilidad de la Prestadora se limita al importe efectivamente pagado por el Cliente en los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meses anteriores al hecho, salvo dolo o negligencia grave.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Prestadora no responde de interrupciones ajenas a su control (por ejemplo, caídas de Google, OpenAI o del proveedor de alojamiento).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13. Caso de éxito (opcional)</w:t>
      </w:r>
    </w:p>
    <w:p>
      <w:pPr>
        <w:spacing w:after="110" w:line="300"/>
        <w:jc w:val="both"/>
      </w:pPr>
      <w:r>
        <w:rPr>
          <w:rFonts w:ascii="Segoe UI Symbol" w:cs="Segoe UI Symbol" w:eastAsia="Segoe UI Symbol" w:hAnsi="Segoe UI Symbol"/>
          <w:color w:val="374151"/>
          <w:sz w:val="21"/>
          <w:szCs w:val="21"/>
        </w:rPr>
        <w:t xml:space="preserve">☐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Cliente autoriza a la Prestadora a mencionar su nombre y logotipo y, en su caso, un testimonio aprobado por escrito por el Cliente, como referencia comercial durante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años. El Cliente puede retirar esta autorización con aviso por escrito.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14. Comunicaciones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Las comunicaciones se harán por escrito a los correos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(Prestadora) y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(Cliente).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15. Ley aplicable y jurisdicción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Este contrato se rige por la ley española. Para cualquier controversia, las partes se someten a los juzgados y tribunales de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[..............]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salvo que la ley imponga otro fuero.</w:t>
      </w:r>
    </w:p>
    <w:p>
      <w:pPr>
        <w:keepNext/>
        <w:pBdr>
          <w:bottom w:val="single" w:color="9CA3AF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Firmas</w:t>
      </w:r>
    </w:p>
    <w:p>
      <w:pPr>
        <w:spacing w:after="110" w:line="300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Y en prueba de conformidad, firman por duplicado, en el lugar y fecha indicados al inicio.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spacing w:after="480"/>
            </w:pPr>
            <w:r>
              <w:rPr>
                <w:rFonts w:ascii="Consolas" w:cs="Consolas" w:eastAsia="Consolas" w:hAnsi="Consolas"/>
                <w:color w:val="374151"/>
                <w:spacing w:val="40"/>
                <w:sz w:val="16"/>
                <w:szCs w:val="16"/>
              </w:rPr>
              <w:t xml:space="preserve">POR LA PRESTADORA</w:t>
            </w:r>
          </w:p>
          <w:p>
            <w:pPr>
              <w:pBdr>
                <w:top w:val="single" w:color="1F2937" w:sz="6" w:space="4"/>
              </w:pBd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3"/>
                <w:szCs w:val="23"/>
              </w:rPr>
              <w:t xml:space="preserve">Viviana Andrea Acero Pulido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Prestadora · AI Lead Machine</w:t>
            </w:r>
          </w:p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Fecha: [..............]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spacing w:after="480"/>
            </w:pPr>
            <w:r>
              <w:rPr>
                <w:rFonts w:ascii="Consolas" w:cs="Consolas" w:eastAsia="Consolas" w:hAnsi="Consolas"/>
                <w:color w:val="374151"/>
                <w:spacing w:val="40"/>
                <w:sz w:val="16"/>
                <w:szCs w:val="16"/>
              </w:rPr>
              <w:t xml:space="preserve">POR EL CLIENTE</w:t>
            </w:r>
          </w:p>
          <w:p>
            <w:pPr>
              <w:pBdr>
                <w:top w:val="single" w:color="1F2937" w:sz="6" w:space="4"/>
              </w:pBd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3"/>
                <w:szCs w:val="23"/>
              </w:rPr>
              <w:t xml:space="preserve">Martínez-Matilla Abogados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Representante: [....................]</w:t>
            </w:r>
          </w:p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Fecha: [..............]</w:t>
            </w:r>
          </w:p>
        </w:tc>
      </w:tr>
    </w:tbl>
    <w:p>
      <w:pPr>
        <w:pageBreakBefore/>
      </w:pPr>
    </w:p>
    <w:p>
      <w:pPr>
        <w:spacing w:after="40"/>
      </w:pPr>
      <w:r>
        <w:rPr>
          <w:rFonts w:ascii="Consolas" w:cs="Consolas" w:eastAsia="Consolas" w:hAnsi="Consolas"/>
          <w:color w:val="374151"/>
          <w:spacing w:val="40"/>
          <w:sz w:val="16"/>
          <w:szCs w:val="16"/>
        </w:rPr>
        <w:t xml:space="preserve">ANEXO 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Encargo de tratamiento de datos (art. 28 RGPD)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1F293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Apartado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1F293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Martínez-Matilla Abogados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Encargada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Viviana Andrea Acero Pulido (AI Lead Machine)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Objeto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Alojar y operar el asistente virtual que recoge datos para reservar primeras consultas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Duración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del contrato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Atender consultas, preparar y reservar primeras consultas, avisar al Cliente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Tipos de datos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Identificación y contacto, tipo de caso, resumen, plazos, entidad financiera y documentación disponible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Interesados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Personas que consultan al despacho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Categorías especiales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(el Cliente decide si se recogen; se recomienda evitarlas)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Subencargados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OpenAI (procesamiento de texto), Google (calendario), proveedor de alojamiento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proveedor de correo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Transferencias internacionales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 las garantías del RGPD (cláusulas contractuales tipo u otras equivalentes):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Medidas de seguridad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Acceso con clave al panel, cifrado en tránsito, copias y acceso limitado: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[..............]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Brechas de seguridad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Aviso al Cliente sin dilación indebida y como máximo en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horas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Derechos de las personas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Prestadora ayuda al Cliente a atender ejercicios de derechos en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días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del encargo</w:t>
            </w:r>
          </w:p>
        </w:tc>
        <w:tc>
          <w:tcPr>
            <w:tcW w:type="dxa" w:w="6638"/>
            <w:tcBorders>
              <w:top w:val="single" w:color="CDD3DF" w:sz="4"/>
              <w:left w:val="single" w:color="CDD3DF" w:sz="4"/>
              <w:bottom w:val="single" w:color="CDD3DF" w:sz="4"/>
              <w:right w:val="single" w:color="CDD3DF" w:sz="4"/>
            </w:tcBorders>
            <w:shd w:fill="F3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Devolución de los datos en CSV y supresión en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[....]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días, salvo obligación legal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0" w:right="1134" w:bottom="13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CA3AF" w:sz="4" w:space="6"/>
      </w:pBdr>
      <w:tabs>
        <w:tab w:val="right" w:pos="9638"/>
      </w:tabs>
    </w:pPr>
    <w:r>
      <w:rPr>
        <w:rFonts w:ascii="Calibri" w:cs="Calibri" w:eastAsia="Calibri" w:hAnsi="Calibri"/>
        <w:color w:val="4B5563"/>
        <w:sz w:val="16"/>
        <w:szCs w:val="16"/>
      </w:rPr>
      <w:t xml:space="preserve">Contrato de prestación de servicios</w:t>
    </w:r>
    <w:r>
      <w:rPr>
        <w:rFonts w:ascii="Calibri" w:cs="Calibri" w:eastAsia="Calibri" w:hAnsi="Calibri"/>
        <w:color w:val="4B5563"/>
        <w:sz w:val="16"/>
        <w:szCs w:val="16"/>
      </w:rPr>
      <w:t xml:space="preserve">	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de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A3AF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color w:val="4B5563"/>
        <w:sz w:val="16"/>
        <w:szCs w:val="16"/>
      </w:rPr>
      <w:t xml:space="preserve">Viviana Andrea Acero Pulido  ·  Martínez-Matilla Abogados</w:t>
    </w:r>
    <w:r>
      <w:rPr>
        <w:rFonts w:ascii="Calibri" w:cs="Calibri" w:eastAsia="Calibri" w:hAnsi="Calibri"/>
        <w:color w:val="4B5563"/>
        <w:spacing w:val="30"/>
        <w:sz w:val="15"/>
        <w:szCs w:val="15"/>
      </w:rPr>
      <w:t xml:space="preserve">	CONTRATO DE PRESTACIÓN DE SERVICIOS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300"/>
      </w:pPr>
      <w:rPr>
        <w:b/>
        <w:bCs/>
        <w:color w:val="9CA3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prestación de servicios · Martínez-Matilla Abogados</dc:title>
  <dc:creator>AI Lead Machine</dc:creator>
  <cp:lastModifiedBy>Un-named</cp:lastModifiedBy>
  <cp:revision>1</cp:revision>
  <dcterms:created xsi:type="dcterms:W3CDTF">2026-10-09T07:21:33.449Z</dcterms:created>
  <dcterms:modified xsi:type="dcterms:W3CDTF">2026-10-09T07:21:33.449Z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