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26.png" ContentType="image/png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Continuity is not consistency: Cross-contract observability in LEED spot measurement chains</w:t>
      </w:r>
    </w:p>
    <w:p>
      <w:pPr>
        <w:pStyle w:val="Subtitle"/>
      </w:pPr>
      <w:r>
        <w:t xml:space="preserve">Scientific draft - not submission-ready</w:t>
      </w:r>
    </w:p>
    <w:bookmarkStart w:id="13" w:name="abstract"/>
    <w:p>
      <w:pPr>
        <w:pStyle w:val="Heading1"/>
      </w:pPr>
      <w:r>
        <w:t xml:space="preserve">Abstract</w:t>
      </w:r>
    </w:p>
    <w:p>
      <w:pPr>
        <w:pStyle w:val="FirstParagraph"/>
      </w:pPr>
      <w:r>
        <w:t xml:space="preserve">Continuous tracker output is useful for quantitative low-energy electron</w:t>
      </w:r>
      <w:r>
        <w:t xml:space="preserve"> </w:t>
      </w:r>
      <w:r>
        <w:t xml:space="preserve">diffraction only when the associated measurement remains observable and</w:t>
      </w:r>
      <w:r>
        <w:t xml:space="preserve"> </w:t>
      </w:r>
      <w:r>
        <w:t xml:space="preserve">physically consistent. We asked whether those properties were stable across a</w:t>
      </w:r>
      <w:r>
        <w:t xml:space="preserve"> </w:t>
      </w:r>
      <w:r>
        <w:t xml:space="preserve">local TrackLEED Gaussian measurement contract and an external native</w:t>
      </w:r>
      <w:r>
        <w:t xml:space="preserve"> </w:t>
      </w:r>
      <w:r>
        <w:t xml:space="preserve">whole-pattern ViPErLEED contract. Two principal energy scans supplied 324</w:t>
      </w:r>
      <w:r>
        <w:t xml:space="preserve"> </w:t>
      </w:r>
      <w:r>
        <w:t xml:space="preserve">predeclared branch-frame opportunities per method. All opportunities were</w:t>
      </w:r>
      <w:r>
        <w:t xml:space="preserve"> </w:t>
      </w:r>
      <w:r>
        <w:t xml:space="preserve">retained. Every method produced more ViPErLEED-only than Gaussian-only states</w:t>
      </w:r>
      <w:r>
        <w:t xml:space="preserve"> </w:t>
      </w:r>
      <w:r>
        <w:t xml:space="preserve">(43-100 versus 0-10), while the contracts yielded 114 Gaussian-contract gaps</w:t>
      </w:r>
      <w:r>
        <w:t xml:space="preserve"> </w:t>
      </w:r>
      <w:r>
        <w:t xml:space="preserve">and two ViPEr-native visibility gaps. Among 124 accepted Gaussian</w:t>
      </w:r>
      <w:r>
        <w:t xml:space="preserve"> </w:t>
      </w:r>
      <w:r>
        <w:t xml:space="preserve">out-of-branch continuations, native evidence classified 83 as branch-model</w:t>
      </w:r>
      <w:r>
        <w:t xml:space="preserve"> </w:t>
      </w:r>
      <w:r>
        <w:t xml:space="preserve">disagreement, 16 as Cross-contract target inconsistency, and 25 as Unresolved</w:t>
      </w:r>
      <w:r>
        <w:t xml:space="preserve"> </w:t>
      </w:r>
      <w:r>
        <w:t xml:space="preserve">cross-contract outcomes. Fixed branch-consistent coverage used 221 reference</w:t>
      </w:r>
      <w:r>
        <w:t xml:space="preserve"> </w:t>
      </w:r>
      <w:r>
        <w:t xml:space="preserve">opportunities per method, whereas conditional out-of-branch fractions used</w:t>
      </w:r>
      <w:r>
        <w:t xml:space="preserve"> </w:t>
      </w:r>
      <w:r>
        <w:t xml:space="preserve">206-272 accepted Gaussian fits. Neither contract was treated as visibility,</w:t>
      </w:r>
      <w:r>
        <w:t xml:space="preserve"> </w:t>
      </w:r>
      <w:r>
        <w:t xml:space="preserve">position, or spot-identity ground truth. These results show that continuity</w:t>
      </w:r>
      <w:r>
        <w:t xml:space="preserve"> </w:t>
      </w:r>
      <w:r>
        <w:t xml:space="preserve">alone is insufficient:</w:t>
      </w:r>
      <w:r>
        <w:t xml:space="preserve"> </w:t>
      </w:r>
      <w:r>
        <w:t xml:space="preserve">measurement-chain robustness requires a cross-contract, denominator-aware</w:t>
      </w:r>
      <w:r>
        <w:t xml:space="preserve"> </w:t>
      </w:r>
      <w:r>
        <w:t xml:space="preserve">assessment of observability and failure semantics.</w:t>
      </w:r>
    </w:p>
    <w:bookmarkStart w:id="12" w:name="figure-1"/>
    <w:p>
      <w:pPr>
        <w:pStyle w:val="CaptionedFigure"/>
        <w:spacing w:before="40" w:after="0" w:line="240" w:lineRule="auto"/>
        <w:jc w:val="center"/>
        <w:keepNext w:val="1"/>
      </w:pPr>
      <w:r>
        <w:drawing>
          <wp:inline>
            <wp:extent cx="6408000" cy="2807692"/>
            <wp:effectExtent b="0" l="0" r="0" t="0"/>
            <wp:docPr descr="Figure 1. Two predeclared operational paths evaluate each branch-frame opportunity: local proposal-to-Gaussian refinement and native indexed whole-pattern detection. Their four-state outcome layer supports contract-specific gap and continuation interpretation with explicit denominators; neither path is position, visibility, or spot-identity ground truth." title="" id="10" name="Picture"/>
            <a:graphic>
              <a:graphicData uri="http://schemas.openxmlformats.org/drawingml/2006/picture">
                <pic:pic>
                  <pic:nvPicPr>
                    <pic:cNvPr descr="manuscript/cross_contract/figures/output/figure01_cross_contract_framework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8000" cy="28076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Figure 1. Two predeclared operational paths evaluate each branch-frame opportunity: local proposal-to-Gaussian refinement and native indexed whole-pattern detection. Their four-state outcome layer supports contract-specific gap and continuation interpretation with explicit denominators; neither path is position, visibility, or spot-identity ground truth.</w:t>
      </w:r>
    </w:p>
    <w:bookmarkEnd w:id="12"/>
    <w:bookmarkEnd w:id="13"/>
    <w:bookmarkStart w:id="17" w:name="introduction"/>
    <w:p>
      <w:pPr>
        <w:pStyle w:val="Heading1"/>
      </w:pPr>
      <w:r>
        <w:t xml:space="preserve">1. Introduction</w:t>
      </w:r>
    </w:p>
    <w:p>
      <w:pPr>
        <w:pStyle w:val="FirstParagraph"/>
      </w:pPr>
      <w:r>
        <w:t xml:space="preserve">Figure 1 summarizes the two measurement contracts and their interpretation boundary.</w:t>
      </w:r>
    </w:p>
    <w:bookmarkStart w:id="14" w:name="X5c67c7733f05a0ee4e6f9cd048484b90787b9f8"/>
    <w:p>
      <w:pPr>
        <w:pStyle w:val="Heading2"/>
      </w:pPr>
      <w:r>
        <w:t xml:space="preserve">1.1 Measurement continuity is not a physical conclusion</w:t>
      </w:r>
    </w:p>
    <w:p>
      <w:pPr>
        <w:pStyle w:val="FirstParagraph"/>
      </w:pPr>
      <w:r>
        <w:t xml:space="preserve">Low-energy electron diffraction (LEED) derives surface-structure information</w:t>
      </w:r>
      <w:r>
        <w:t xml:space="preserve"> </w:t>
      </w:r>
      <w:r>
        <w:t xml:space="preserve">from energy-dependent diffraction patterns. Quantitative analysis commonly</w:t>
      </w:r>
      <w:r>
        <w:t xml:space="preserve"> </w:t>
      </w:r>
      <w:r>
        <w:t xml:space="preserve">uses the intensity of indexed beams as a function of incident energy, but spot</w:t>
      </w:r>
      <w:r>
        <w:t xml:space="preserve"> </w:t>
      </w:r>
      <w:r>
        <w:t xml:space="preserve">position, shape, and pair geometry are also informative image-derived</w:t>
      </w:r>
      <w:r>
        <w:t xml:space="preserve"> </w:t>
      </w:r>
      <w:r>
        <w:t xml:space="preserve">quantities</w:t>
      </w:r>
      <w:r>
        <w:t xml:space="preserve"> </w:t>
      </w:r>
      <w:r>
        <w:t xml:space="preserve">(</w:t>
      </w:r>
      <w:hyperlink w:anchor="ref-pendry1974leed">
        <w:r>
          <w:rPr>
            <w:rStyle w:val="Hyperlink"/>
          </w:rPr>
          <w:t xml:space="preserve">Pendry 1974</w:t>
        </w:r>
      </w:hyperlink>
      <w:r>
        <w:t xml:space="preserve">;</w:t>
      </w:r>
      <w:r>
        <w:t xml:space="preserve"> </w:t>
      </w:r>
      <w:hyperlink w:anchor="ref-mayer2012easyleed">
        <w:r>
          <w:rPr>
            <w:rStyle w:val="Hyperlink"/>
          </w:rPr>
          <w:t xml:space="preserve">Mayer et al. 2012</w:t>
        </w:r>
      </w:hyperlink>
      <w:r>
        <w:t xml:space="preserve">;</w:t>
      </w:r>
      <w:r>
        <w:t xml:space="preserve"> </w:t>
      </w:r>
      <w:hyperlink w:anchor="ref-schmid2025viperleed">
        <w:r>
          <w:rPr>
            <w:rStyle w:val="Hyperlink"/>
          </w:rPr>
          <w:t xml:space="preserve">Schmid et al. 2025</w:t>
        </w:r>
      </w:hyperlink>
      <w:r>
        <w:t xml:space="preserve">)</w:t>
      </w:r>
      <w:r>
        <w:t xml:space="preserve">. Each</w:t>
      </w:r>
      <w:r>
        <w:t xml:space="preserve"> </w:t>
      </w:r>
      <w:r>
        <w:t xml:space="preserve">quantity depends on an association between a target diffraction spot and the</w:t>
      </w:r>
      <w:r>
        <w:t xml:space="preserve"> </w:t>
      </w:r>
      <w:r>
        <w:t xml:space="preserve">pixels from which the measurement is obtained. When a pattern moves, contracts,</w:t>
      </w:r>
      <w:r>
        <w:t xml:space="preserve"> </w:t>
      </w:r>
      <w:r>
        <w:t xml:space="preserve">or changes intensity, a continuous coordinate sequence can preserve that</w:t>
      </w:r>
      <w:r>
        <w:t xml:space="preserve"> </w:t>
      </w:r>
      <w:r>
        <w:t xml:space="preserve">association, lose it, or continue through frames in which the intended spot is</w:t>
      </w:r>
      <w:r>
        <w:t xml:space="preserve"> </w:t>
      </w:r>
      <w:r>
        <w:t xml:space="preserve">not directly measurable.</w:t>
      </w:r>
    </w:p>
    <w:p>
      <w:pPr>
        <w:pStyle w:val="BodyText"/>
      </w:pPr>
      <w:r>
        <w:t xml:space="preserve">This distinction separates tracking continuity from measurement validity. A</w:t>
      </w:r>
      <w:r>
        <w:t xml:space="preserve"> </w:t>
      </w:r>
      <w:r>
        <w:t xml:space="preserve">tracker can return coordinates in every frame even if the local image no</w:t>
      </w:r>
      <w:r>
        <w:t xml:space="preserve"> </w:t>
      </w:r>
      <w:r>
        <w:t xml:space="preserve">longer supports an accepted measurement. Conversely, a native</w:t>
      </w:r>
      <w:r>
        <w:t xml:space="preserve"> </w:t>
      </w:r>
      <w:r>
        <w:t xml:space="preserve">whole-pattern method can directly detect an indexed beam when a local</w:t>
      </w:r>
      <w:r>
        <w:t xml:space="preserve"> </w:t>
      </w:r>
      <w:r>
        <w:t xml:space="preserve">proposal-to-Gaussian pathway rejects its fit. A smooth trajectory is therefore</w:t>
      </w:r>
      <w:r>
        <w:t xml:space="preserve"> </w:t>
      </w:r>
      <w:r>
        <w:t xml:space="preserve">not itself evidence that the intended spot remained observable, and a missing</w:t>
      </w:r>
      <w:r>
        <w:t xml:space="preserve"> </w:t>
      </w:r>
      <w:r>
        <w:t xml:space="preserve">local result is not itself evidence that the diffraction feature physically</w:t>
      </w:r>
      <w:r>
        <w:t xml:space="preserve"> </w:t>
      </w:r>
      <w:r>
        <w:t xml:space="preserve">disappeared. Both statements depend on the measurement contract that converts</w:t>
      </w:r>
      <w:r>
        <w:t xml:space="preserve"> </w:t>
      </w:r>
      <w:r>
        <w:t xml:space="preserve">an image and a tracking output into an operational state.</w:t>
      </w:r>
    </w:p>
    <w:p>
      <w:pPr>
        <w:sectPr>
          <w:type w:val="continuous"/>
          <w:pgSz w:w="11907" w:h="16840"/>
          <w:pgMar w:top="907" w:right="907" w:bottom="907" w:left="907" w:header="454" w:footer="454" w:gutter="0"/>
          <w:cols w:num="1" w:space="113"/>
        </w:sectPr>
      </w:pPr>
    </w:p>
    <w:p>
      <w:pPr>
        <w:pStyle w:val="BodyText"/>
      </w:pPr>
      <w:r>
        <w:t xml:space="preserve">The problem is especially important in an energy scan. Reciprocal-space</w:t>
      </w:r>
      <w:r>
        <w:t xml:space="preserve"> </w:t>
      </w:r>
      <w:r>
        <w:t xml:space="preserve">geometry predicts an approximately radial contraction of a LEED pattern as</w:t>
      </w:r>
      <w:r>
        <w:t xml:space="preserve"> </w:t>
      </w:r>
      <w:r>
        <w:t xml:space="preserve">electron energy increases, while intensity variations can make individual</w:t>
      </w:r>
      <w:r>
        <w:t xml:space="preserve"> </w:t>
      </w:r>
      <w:r>
        <w:t xml:space="preserve">beams weak or temporarily undetectable. A local measurement chain may use a</w:t>
      </w:r>
      <w:r>
        <w:t xml:space="preserve"> </w:t>
      </w:r>
      <w:r>
        <w:t xml:space="preserve">proposal to place a small region of interest and then refine a spot center. A</w:t>
      </w:r>
      <w:r>
        <w:t xml:space="preserve"> </w:t>
      </w:r>
      <w:r>
        <w:t xml:space="preserve">whole-pattern chain can instead identify the indexed lattice, register the</w:t>
      </w:r>
      <w:r>
        <w:t xml:space="preserve"> </w:t>
      </w:r>
      <w:r>
        <w:t xml:space="preserve">pattern, and estimate the native beam position from information distributed</w:t>
      </w:r>
      <w:r>
        <w:t xml:space="preserve"> </w:t>
      </w:r>
      <w:r>
        <w:t xml:space="preserve">across the screen. Both pathways are scientifically meaningful, but they do</w:t>
      </w:r>
      <w:r>
        <w:t xml:space="preserve"> </w:t>
      </w:r>
      <w:r>
        <w:t xml:space="preserve">not have interchangeable endpoints. Their agreement or disagreement must be</w:t>
      </w:r>
      <w:r>
        <w:t xml:space="preserve"> </w:t>
      </w:r>
      <w:r>
        <w:t xml:space="preserve">reported without elevating either endpoint to an unobserved ground truth.</w:t>
      </w:r>
    </w:p>
    <w:bookmarkEnd w:id="14"/>
    <w:bookmarkStart w:id="15" w:name="X40c309e179171c4833da6f3e193d073f0e56965"/>
    <w:p>
      <w:pPr>
        <w:pStyle w:val="Heading2"/>
      </w:pPr>
      <w:r>
        <w:t xml:space="preserve">1.2 Two established LEED pathways create a cross-contract question</w:t>
      </w:r>
    </w:p>
    <w:p>
      <w:pPr>
        <w:pStyle w:val="FirstParagraph"/>
      </w:pPr>
      <w:r>
        <w:t xml:space="preserve">EasyLEED and ViPErLEED demonstrate that automated LEED spot association,</w:t>
      </w:r>
      <w:r>
        <w:t xml:space="preserve"> </w:t>
      </w:r>
      <w:r>
        <w:t xml:space="preserve">energy-aware motion models, and quantitative image extraction have established</w:t>
      </w:r>
      <w:r>
        <w:t xml:space="preserve"> </w:t>
      </w:r>
      <w:r>
        <w:t xml:space="preserve">precedents. EasyLEED combines an energy-informed Kalman prediction with local</w:t>
      </w:r>
      <w:r>
        <w:t xml:space="preserve"> </w:t>
      </w:r>
      <w:r>
        <w:t xml:space="preserve">image measurement for individually initialized spots</w:t>
      </w:r>
      <w:r>
        <w:t xml:space="preserve"> </w:t>
      </w:r>
      <w:r>
        <w:t xml:space="preserve">(</w:t>
      </w:r>
      <w:hyperlink w:anchor="ref-mayer2012easyleed">
        <w:r>
          <w:rPr>
            <w:rStyle w:val="Hyperlink"/>
          </w:rPr>
          <w:t xml:space="preserve">Mayer et al. 2012</w:t>
        </w:r>
      </w:hyperlink>
      <w:r>
        <w:t xml:space="preserve">)</w:t>
      </w:r>
      <w:r>
        <w:t xml:space="preserve">.</w:t>
      </w:r>
      <w:r>
        <w:t xml:space="preserve"> </w:t>
      </w:r>
      <w:r>
        <w:t xml:space="preserve">ViPErLEED-ImageJ registers an indexed diffraction pattern using reciprocal</w:t>
      </w:r>
      <w:r>
        <w:t xml:space="preserve"> </w:t>
      </w:r>
      <w:r>
        <w:t xml:space="preserve">lattice geometry, energy scaling, aperture measurements, and local pattern</w:t>
      </w:r>
      <w:r>
        <w:t xml:space="preserve"> </w:t>
      </w:r>
      <w:r>
        <w:t xml:space="preserve">corrections to support native beam tracking and I(V) extraction</w:t>
      </w:r>
      <w:r>
        <w:t xml:space="preserve"> </w:t>
      </w:r>
      <w:r>
        <w:t xml:space="preserve">(</w:t>
      </w:r>
      <w:hyperlink w:anchor="ref-schmid2025viperleed">
        <w:r>
          <w:rPr>
            <w:rStyle w:val="Hyperlink"/>
          </w:rPr>
          <w:t xml:space="preserve">Schmid et al. 2025</w:t>
        </w:r>
      </w:hyperlink>
      <w:r>
        <w:t xml:space="preserve">)</w:t>
      </w:r>
      <w:r>
        <w:t xml:space="preserve">. The present work does not claim to invent LEED spot</w:t>
      </w:r>
      <w:r>
        <w:t xml:space="preserve"> </w:t>
      </w:r>
      <w:r>
        <w:t xml:space="preserve">tracking, radial scaling, aperture measurement, or gap bridging.</w:t>
      </w:r>
    </w:p>
    <w:p>
      <w:pPr>
        <w:pStyle w:val="BodyText"/>
      </w:pPr>
      <w:r>
        <w:t xml:space="preserve">Their different architectures motivate the present comparison. Within the</w:t>
      </w:r>
      <w:r>
        <w:t xml:space="preserve"> </w:t>
      </w:r>
      <w:r>
        <w:t xml:space="preserve">local TrackLEED Gaussian contract, EasyLEED is one of five proposal sources.</w:t>
      </w:r>
      <w:r>
        <w:t xml:space="preserve"> </w:t>
      </w:r>
      <w:r>
        <w:t xml:space="preserve">Its saved state indicates where the common local region should be measured;</w:t>
      </w:r>
      <w:r>
        <w:t xml:space="preserve"> </w:t>
      </w:r>
      <w:r>
        <w:t xml:space="preserve">the reported endpoint is the finite Gaussian-refined spot position that passes</w:t>
      </w:r>
      <w:r>
        <w:t xml:space="preserve"> </w:t>
      </w:r>
      <w:r>
        <w:t xml:space="preserve">the same frozen acceptance gates used for the other four proposal methods. In</w:t>
      </w:r>
      <w:r>
        <w:t xml:space="preserve"> </w:t>
      </w:r>
      <w:r>
        <w:t xml:space="preserve">contrast, ViPErLEED is retained as an external indexed whole-pattern</w:t>
      </w:r>
      <w:r>
        <w:t xml:space="preserve"> </w:t>
      </w:r>
      <w:r>
        <w:t xml:space="preserve">measurement contract. Its native significance and raw beam-position</w:t>
      </w:r>
      <w:r>
        <w:t xml:space="preserve"> </w:t>
      </w:r>
      <w:r>
        <w:t xml:space="preserve">deviations are evaluated directly and are not passed through the TrackLEED</w:t>
      </w:r>
      <w:r>
        <w:t xml:space="preserve"> </w:t>
      </w:r>
      <w:r>
        <w:t xml:space="preserve">Gaussian estimator. ViPErLEED is therefore neither a sixth equivalent tracker</w:t>
      </w:r>
      <w:r>
        <w:t xml:space="preserve"> </w:t>
      </w:r>
      <w:r>
        <w:t xml:space="preserve">in the local comparison nor a ground-truth label for it.</w:t>
      </w:r>
    </w:p>
    <w:p>
      <w:pPr>
        <w:pStyle w:val="BodyText"/>
      </w:pPr>
      <w:r>
        <w:t xml:space="preserve">General-purpose methods can still probe the proposal side of the local chain.</w:t>
      </w:r>
      <w:r>
        <w:t xml:space="preserve"> </w:t>
      </w:r>
      <w:r>
        <w:t xml:space="preserve">The tested set comprises point correspondence, bounding-box tracking,</w:t>
      </w:r>
      <w:r>
        <w:t xml:space="preserve"> </w:t>
      </w:r>
      <w:r>
        <w:t xml:space="preserve">mask-based propagation, classical optical flow, and EasyLEED’s</w:t>
      </w:r>
      <w:r>
        <w:t xml:space="preserve"> </w:t>
      </w:r>
      <w:r>
        <w:t xml:space="preserve">physics-informed state estimate</w:t>
      </w:r>
      <w:r>
        <w:t xml:space="preserve"> </w:t>
      </w:r>
      <w:r>
        <w:t xml:space="preserve">(</w:t>
      </w:r>
      <w:hyperlink w:anchor="ref-cho2024locotrack">
        <w:r>
          <w:rPr>
            <w:rStyle w:val="Hyperlink"/>
          </w:rPr>
          <w:t xml:space="preserve">Cho et al. 2024</w:t>
        </w:r>
      </w:hyperlink>
      <w:r>
        <w:t xml:space="preserve">;</w:t>
      </w:r>
      <w:r>
        <w:t xml:space="preserve"> </w:t>
      </w:r>
      <w:hyperlink w:anchor="ref-ye2022ostrack">
        <w:r>
          <w:rPr>
            <w:rStyle w:val="Hyperlink"/>
          </w:rPr>
          <w:t xml:space="preserve">Ye et al. 2022</w:t>
        </w:r>
      </w:hyperlink>
      <w:r>
        <w:t xml:space="preserve">;</w:t>
      </w:r>
      <w:r>
        <w:t xml:space="preserve"> </w:t>
      </w:r>
      <w:hyperlink w:anchor="ref-videnovic2025dam4sam">
        <w:r>
          <w:rPr>
            <w:rStyle w:val="Hyperlink"/>
          </w:rPr>
          <w:t xml:space="preserve">Videnovic et al. 2025</w:t>
        </w:r>
      </w:hyperlink>
      <w:r>
        <w:t xml:space="preserve">;</w:t>
      </w:r>
      <w:r>
        <w:t xml:space="preserve"> </w:t>
      </w:r>
      <w:hyperlink w:anchor="ref-lucas1981iterative">
        <w:r>
          <w:rPr>
            <w:rStyle w:val="Hyperlink"/>
          </w:rPr>
          <w:t xml:space="preserve">Lucas and Kanade 1981</w:t>
        </w:r>
      </w:hyperlink>
      <w:r>
        <w:t xml:space="preserve">)</w:t>
      </w:r>
      <w:r>
        <w:t xml:space="preserve">. Their native outputs differ, but each is</w:t>
      </w:r>
      <w:r>
        <w:t xml:space="preserve"> </w:t>
      </w:r>
      <w:r>
        <w:t xml:space="preserve">reduced to the same limited role: placing a local measurement region. This</w:t>
      </w:r>
      <w:r>
        <w:t xml:space="preserve"> </w:t>
      </w:r>
      <w:r>
        <w:t xml:space="preserve">design avoids ranking heterogeneous native coordinate conventions as if they</w:t>
      </w:r>
      <w:r>
        <w:t xml:space="preserve"> </w:t>
      </w:r>
      <w:r>
        <w:t xml:space="preserve">were commensurate position measurements. It instead asks whether complete</w:t>
      </w:r>
      <w:r>
        <w:t xml:space="preserve"> </w:t>
      </w:r>
      <w:r>
        <w:t xml:space="preserve">measurement chains preserve the availability and physical consistency needed</w:t>
      </w:r>
      <w:r>
        <w:t xml:space="preserve"> </w:t>
      </w:r>
      <w:r>
        <w:t xml:space="preserve">for quantitative use.</w:t>
      </w:r>
    </w:p>
    <w:p>
      <w:pPr>
        <w:pStyle w:val="BodyText"/>
      </w:pPr>
      <w:r>
        <w:t xml:space="preserve">Most tracking evaluations condition error on successful output. Such a</w:t>
      </w:r>
      <w:r>
        <w:t xml:space="preserve"> </w:t>
      </w:r>
      <w:r>
        <w:t xml:space="preserve">surviving set can hide the cases that matter most to measurement robustness.</w:t>
      </w:r>
      <w:r>
        <w:t xml:space="preserve"> </w:t>
      </w:r>
      <w:r>
        <w:t xml:space="preserve">Coverage can fall while conditional residuals appear stable; a local fit can</w:t>
      </w:r>
      <w:r>
        <w:t xml:space="preserve"> </w:t>
      </w:r>
      <w:r>
        <w:t xml:space="preserve">remain accepted while its position departs from a predeclared physical branch;</w:t>
      </w:r>
      <w:r>
        <w:t xml:space="preserve"> </w:t>
      </w:r>
      <w:r>
        <w:t xml:space="preserve">and a method can return after a bounded gap without establishing that the same</w:t>
      </w:r>
      <w:r>
        <w:t xml:space="preserve"> </w:t>
      </w:r>
      <w:r>
        <w:t xml:space="preserve">spot identity was recovered. These outcomes require different denominators.</w:t>
      </w:r>
      <w:r>
        <w:t xml:space="preserve"> </w:t>
      </w:r>
      <w:r>
        <w:t xml:space="preserve">Fixed opportunities are needed for coverage, event-specific components for</w:t>
      </w:r>
      <w:r>
        <w:t xml:space="preserve"> </w:t>
      </w:r>
      <w:r>
        <w:t xml:space="preserve">gap exits, accepted fits for conditional continuation fractions, and direct</w:t>
      </w:r>
      <w:r>
        <w:t xml:space="preserve"> </w:t>
      </w:r>
      <w:r>
        <w:t xml:space="preserve">native observations for cross-contract positional interpretation. Pooling</w:t>
      </w:r>
      <w:r>
        <w:t xml:space="preserve"> </w:t>
      </w:r>
      <w:r>
        <w:t xml:space="preserve">frames, branches, methods, or contracts as independent experimental replicates</w:t>
      </w:r>
      <w:r>
        <w:t xml:space="preserve"> </w:t>
      </w:r>
      <w:r>
        <w:t xml:space="preserve">would erase that structure.</w:t>
      </w:r>
    </w:p>
    <w:bookmarkEnd w:id="15"/>
    <w:bookmarkStart w:id="16" w:name="objective-and-bounded-contribution"/>
    <w:p>
      <w:pPr>
        <w:pStyle w:val="Heading2"/>
      </w:pPr>
      <w:r>
        <w:t xml:space="preserve">1.3 Objective and bounded contribution</w:t>
      </w:r>
    </w:p>
    <w:p>
      <w:pPr>
        <w:pStyle w:val="FirstParagraph"/>
      </w:pPr>
      <w:r>
        <w:t xml:space="preserve">We ask whether LEED spot measurability, bounded gap recovery, and physical</w:t>
      </w:r>
      <w:r>
        <w:t xml:space="preserve"> </w:t>
      </w:r>
      <w:r>
        <w:t xml:space="preserve">consistency remain stable across the local Gaussian and native ViPErLEED</w:t>
      </w:r>
      <w:r>
        <w:t xml:space="preserve"> </w:t>
      </w:r>
      <w:r>
        <w:t xml:space="preserve">measurement contracts. The analysis retains every predeclared branch-frame</w:t>
      </w:r>
      <w:r>
        <w:t xml:space="preserve"> </w:t>
      </w:r>
      <w:r>
        <w:t xml:space="preserve">opportunity, assigns four joint observability states, compares bounded gap</w:t>
      </w:r>
      <w:r>
        <w:t xml:space="preserve"> </w:t>
      </w:r>
      <w:r>
        <w:t xml:space="preserve">events within their method, scan, and branch nesting, and uses direct native</w:t>
      </w:r>
      <w:r>
        <w:t xml:space="preserve"> </w:t>
      </w:r>
      <w:r>
        <w:t xml:space="preserve">evidence to interpret accepted local continuations outside a frozen radial</w:t>
      </w:r>
      <w:r>
        <w:t xml:space="preserve"> </w:t>
      </w:r>
      <w:r>
        <w:t xml:space="preserve">branch model. A limited predeclared threshold and positional-tolerance grid</w:t>
      </w:r>
      <w:r>
        <w:t xml:space="preserve"> </w:t>
      </w:r>
      <w:r>
        <w:t xml:space="preserve">tests whether the conclusions depend on one nominal setting.</w:t>
      </w:r>
    </w:p>
    <w:p>
      <w:pPr>
        <w:pStyle w:val="BodyText"/>
      </w:pPr>
      <w:r>
        <w:t xml:space="preserve">The contribution is a cross-contract, denominator-aware assessment of failure</w:t>
      </w:r>
      <w:r>
        <w:t xml:space="preserve"> </w:t>
      </w:r>
      <w:r>
        <w:t xml:space="preserve">semantics in LEED spot-tracking measurement chains. It is not a universal</w:t>
      </w:r>
      <w:r>
        <w:t xml:space="preserve"> </w:t>
      </w:r>
      <w:r>
        <w:t xml:space="preserve">tracker ranking and not a claim of absolute tracking accuracy. The principal</w:t>
      </w:r>
      <w:r>
        <w:t xml:space="preserve"> </w:t>
      </w:r>
      <w:r>
        <w:t xml:space="preserve">result is that observability and gap attribution depend strongly on the</w:t>
      </w:r>
      <w:r>
        <w:t xml:space="preserve"> </w:t>
      </w:r>
      <w:r>
        <w:t xml:space="preserve">measurement contract, while a continuous accepted local output can represent</w:t>
      </w:r>
      <w:r>
        <w:t xml:space="preserve"> </w:t>
      </w:r>
      <w:r>
        <w:t xml:space="preserve">branch-model disagreement, Cross-contract target inconsistency, or an</w:t>
      </w:r>
      <w:r>
        <w:t xml:space="preserve"> </w:t>
      </w:r>
      <w:r>
        <w:t xml:space="preserve">Unresolved cross-contract outcome. This framing turns continuity from a</w:t>
      </w:r>
      <w:r>
        <w:t xml:space="preserve"> </w:t>
      </w:r>
      <w:r>
        <w:t xml:space="preserve">presumed success criterion into one input to an explicitly qualified physical</w:t>
      </w:r>
      <w:r>
        <w:t xml:space="preserve"> </w:t>
      </w:r>
      <w:r>
        <w:t xml:space="preserve">interpretation.</w:t>
      </w:r>
    </w:p>
    <w:p>
      <w:pPr>
        <w:pStyle w:val="BodyText"/>
      </w:pPr>
      <w:r>
        <w:t xml:space="preserve">Supplementary Information Figure S1, Figure S2, Table S1, and Table S2 document calibration and sensitivity checks.</w:t>
      </w:r>
    </w:p>
    <w:bookmarkEnd w:id="16"/>
    <w:bookmarkEnd w:id="17"/>
    <w:bookmarkStart w:id="25" w:name="methods"/>
    <w:p>
      <w:pPr>
        <w:pStyle w:val="Heading1"/>
      </w:pPr>
      <w:r>
        <w:t xml:space="preserve">2. Methods</w:t>
      </w:r>
    </w:p>
    <w:bookmarkStart w:id="18" w:name="X497f401a7d290864651aedd37bd845212d28e02"/>
    <w:p>
      <w:pPr>
        <w:pStyle w:val="Heading2"/>
      </w:pPr>
      <w:r>
        <w:t xml:space="preserve">2.1 Acquisition-closed study design and opportunity set</w:t>
      </w:r>
    </w:p>
    <w:p>
      <w:pPr>
        <w:pStyle w:val="FirstParagraph"/>
      </w:pPr>
      <w:r>
        <w:t xml:space="preserve">The study used existing-acquisition-only evidence from two principal energy</w:t>
      </w:r>
      <w:r>
        <w:t xml:space="preserve"> </w:t>
      </w:r>
      <w:r>
        <w:t xml:space="preserve">scans. No new LEED acquisition, detector calibration, sample preparation, or</w:t>
      </w:r>
      <w:r>
        <w:t xml:space="preserve"> </w:t>
      </w:r>
      <w:r>
        <w:t xml:space="preserve">instrument measurement was introduced for this analysis. The first scan</w:t>
      </w:r>
      <w:r>
        <w:t xml:space="preserve"> </w:t>
      </w:r>
      <w:r>
        <w:t xml:space="preserve">contained 35 retained source frames and the second contained 46. Four</w:t>
      </w:r>
      <w:r>
        <w:t xml:space="preserve"> </w:t>
      </w:r>
      <w:r>
        <w:t xml:space="preserve">predeclared radial branches were mapped in each frame, giving</w:t>
      </w:r>
      <w:r>
        <w:t xml:space="preserve"> </w:t>
      </w:r>
      <w:r>
        <w:rPr>
          <w:rStyle w:val="VerbatimChar"/>
        </w:rPr>
        <w:t xml:space="preserve">4 x (35 + 46) = 324</w:t>
      </w:r>
      <w:r>
        <w:t xml:space="preserve"> </w:t>
      </w:r>
      <w:r>
        <w:t xml:space="preserve">branch-frame opportunities. The opportunity key joined</w:t>
      </w:r>
      <w:r>
        <w:t xml:space="preserve"> </w:t>
      </w:r>
      <w:r>
        <w:t xml:space="preserve">scan, source frame, energy, and mapped branch. Duplicate terminal energies</w:t>
      </w:r>
      <w:r>
        <w:t xml:space="preserve"> </w:t>
      </w:r>
      <w:r>
        <w:t xml:space="preserve">remained separate source frames rather than being collapsed.</w:t>
      </w:r>
    </w:p>
    <w:p>
      <w:pPr>
        <w:pStyle w:val="BodyText"/>
      </w:pPr>
      <w:r>
        <w:t xml:space="preserve">Five local proposal methods were evaluated at every opportunity: EasyLEED,</w:t>
      </w:r>
      <w:r>
        <w:t xml:space="preserve"> </w:t>
      </w:r>
      <w:r>
        <w:t xml:space="preserve">LocoTrack, OSTrack, DAM4SAM, and Lucas-Kanade optical flow. This produced 1,620</w:t>
      </w:r>
      <w:r>
        <w:t xml:space="preserve"> </w:t>
      </w:r>
      <w:r>
        <w:t xml:space="preserve">method-opportunity rows. The native ViPErLEED state belonged to the mapped</w:t>
      </w:r>
      <w:r>
        <w:t xml:space="preserve"> </w:t>
      </w:r>
      <w:r>
        <w:t xml:space="preserve">indexed branch at the same scan, source frame, and energy and was reused across</w:t>
      </w:r>
      <w:r>
        <w:t xml:space="preserve"> </w:t>
      </w:r>
      <w:r>
        <w:t xml:space="preserve">the five method strata; it was not counted as five independent native</w:t>
      </w:r>
      <w:r>
        <w:t xml:space="preserve"> </w:t>
      </w:r>
      <w:r>
        <w:t xml:space="preserve">observations. Opportunities were nested within scan and branch, and bounded</w:t>
      </w:r>
      <w:r>
        <w:t xml:space="preserve"> </w:t>
      </w:r>
      <w:r>
        <w:t xml:space="preserve">gap events added a further nesting level. All counts are consequently</w:t>
      </w:r>
      <w:r>
        <w:t xml:space="preserve"> </w:t>
      </w:r>
      <w:r>
        <w:t xml:space="preserve">descriptive within these strata. Frames, branches, methods, and the two</w:t>
      </w:r>
      <w:r>
        <w:t xml:space="preserve"> </w:t>
      </w:r>
      <w:r>
        <w:t xml:space="preserve">contracts applied to the same acquisition are not experimental replicates.</w:t>
      </w:r>
    </w:p>
    <w:p>
      <w:pPr>
        <w:pStyle w:val="BodyText"/>
      </w:pPr>
      <w:r>
        <w:t xml:space="preserve">The existing scientific panel supplied the frozen local candidate and</w:t>
      </w:r>
      <w:r>
        <w:t xml:space="preserve"> </w:t>
      </w:r>
      <w:r>
        <w:t xml:space="preserve">evaluation records. The native principal-scan package supplied the immutable</w:t>
      </w:r>
      <w:r>
        <w:t xml:space="preserve"> </w:t>
      </w:r>
      <w:r>
        <w:t xml:space="preserve">ViPErLEED exports and their lossless four-branch reduction. Both packages were</w:t>
      </w:r>
      <w:r>
        <w:t xml:space="preserve"> </w:t>
      </w:r>
      <w:r>
        <w:t xml:space="preserve">joined one-to-one under a contract committed before the cross-contract counts</w:t>
      </w:r>
      <w:r>
        <w:t xml:space="preserve"> </w:t>
      </w:r>
      <w:r>
        <w:t xml:space="preserve">were computed. Missing, rejected, subthreshold, inferred, and edge observations</w:t>
      </w:r>
      <w:r>
        <w:t xml:space="preserve"> </w:t>
      </w:r>
      <w:r>
        <w:t xml:space="preserve">remained in the matrix. No opportunity was removed because one pathway lacked</w:t>
      </w:r>
      <w:r>
        <w:t xml:space="preserve"> </w:t>
      </w:r>
      <w:r>
        <w:t xml:space="preserve">an accepted result.</w:t>
      </w:r>
    </w:p>
    <w:p>
      <w:pPr>
        <w:pStyle w:val="BodyText"/>
      </w:pPr>
      <w:r>
        <w:t xml:space="preserve">TODO[EXPERIMENT] Supply and approve the complete experimental description.</w:t>
      </w:r>
    </w:p>
    <w:p>
      <w:pPr>
        <w:pStyle w:val="BodyText"/>
      </w:pPr>
      <w:r>
        <w:t xml:space="preserve">This placeholder is limited to author-approved sample, instrument,</w:t>
      </w:r>
      <w:r>
        <w:t xml:space="preserve"> </w:t>
      </w:r>
      <w:r>
        <w:t xml:space="preserve">preparation, and acquisition reporting. It does not authorize changes to the</w:t>
      </w:r>
      <w:r>
        <w:t xml:space="preserve"> </w:t>
      </w:r>
      <w:r>
        <w:t xml:space="preserve">frozen opportunity set, measurement contracts, analysis thresholds, or result</w:t>
      </w:r>
      <w:r>
        <w:t xml:space="preserve"> </w:t>
      </w:r>
      <w:r>
        <w:t xml:space="preserve">denominators.</w:t>
      </w:r>
    </w:p>
    <w:bookmarkEnd w:id="18"/>
    <w:bookmarkStart w:id="19" w:name="local-gaussian-measurement-contract"/>
    <w:p>
      <w:pPr>
        <w:pStyle w:val="Heading2"/>
      </w:pPr>
      <w:r>
        <w:t xml:space="preserve">2.2 Local Gaussian measurement contract</w:t>
      </w:r>
    </w:p>
    <w:p>
      <w:pPr>
        <w:pStyle w:val="FirstParagraph"/>
      </w:pPr>
      <w:r>
        <w:t xml:space="preserve">Each local method first produced a tracking proposal in its native</w:t>
      </w:r>
      <w:r>
        <w:t xml:space="preserve"> </w:t>
      </w:r>
      <w:r>
        <w:t xml:space="preserve">representation. LocoTrack supplied a propagated point, OSTrack a tracked box,</w:t>
      </w:r>
      <w:r>
        <w:t xml:space="preserve"> </w:t>
      </w:r>
      <w:r>
        <w:t xml:space="preserve">DAM4SAM a propagated mask, Lucas-Kanade an optical-flow displacement, and</w:t>
      </w:r>
      <w:r>
        <w:t xml:space="preserve"> </w:t>
      </w:r>
      <w:r>
        <w:t xml:space="preserve">EasyLEED an energy-informed state estimate. Frozen adapters converted those</w:t>
      </w:r>
      <w:r>
        <w:t xml:space="preserve"> </w:t>
      </w:r>
      <w:r>
        <w:t xml:space="preserve">outputs into a location for a common local measurement region. The adapters</w:t>
      </w:r>
      <w:r>
        <w:t xml:space="preserve"> </w:t>
      </w:r>
      <w:r>
        <w:t xml:space="preserve">did not redefine a method’s native output as the reported physical position.</w:t>
      </w:r>
    </w:p>
    <w:p>
      <w:pPr>
        <w:pStyle w:val="BodyText"/>
      </w:pPr>
      <w:r>
        <w:t xml:space="preserve">The selected raw-image region entered the same two-dimensional Gaussian spot</w:t>
      </w:r>
      <w:r>
        <w:t xml:space="preserve"> </w:t>
      </w:r>
      <w:r>
        <w:t xml:space="preserve">estimator for all five methods. A record satisfied</w:t>
      </w:r>
      <w:r>
        <w:t xml:space="preserve"> </w:t>
      </w:r>
      <w:r>
        <w:rPr>
          <w:b/>
          <w:bCs/>
        </w:rPr>
        <w:t xml:space="preserve">Gaussian-contract</w:t>
      </w:r>
      <w:r>
        <w:rPr>
          <w:b/>
          <w:bCs/>
        </w:rPr>
        <w:t xml:space="preserve"> </w:t>
      </w:r>
      <w:r>
        <w:rPr>
          <w:b/>
          <w:bCs/>
        </w:rPr>
        <w:t xml:space="preserve">measurability</w:t>
      </w:r>
      <w:r>
        <w:t xml:space="preserve"> </w:t>
      </w:r>
      <w:r>
        <w:t xml:space="preserve">(</w:t>
      </w:r>
      <w:r>
        <w:rPr>
          <w:rStyle w:val="VerbatimChar"/>
        </w:rPr>
        <w:t xml:space="preserve">G=1</w:t>
      </w:r>
      <w:r>
        <w:t xml:space="preserve">) only when the estimator returned a finite</w:t>
      </w:r>
      <w:r>
        <w:t xml:space="preserve"> </w:t>
      </w:r>
      <w:r>
        <w:t xml:space="preserve">Gaussian-refined spot position and every frozen local acceptance gate passed.</w:t>
      </w:r>
      <w:r>
        <w:t xml:space="preserve"> </w:t>
      </w:r>
      <w:r>
        <w:t xml:space="preserve">The state is an operational endpoint of the complete proposal, region, fit,</w:t>
      </w:r>
      <w:r>
        <w:t xml:space="preserve"> </w:t>
      </w:r>
      <w:r>
        <w:t xml:space="preserve">and acceptance pathway. It is not physical visibility, native tracker success,</w:t>
      </w:r>
      <w:r>
        <w:t xml:space="preserve"> </w:t>
      </w:r>
      <w:r>
        <w:t xml:space="preserve">or absolute position accuracy. A rejected fit was retained as</w:t>
      </w:r>
      <w:r>
        <w:t xml:space="preserve"> </w:t>
      </w:r>
      <w:r>
        <w:rPr>
          <w:rStyle w:val="VerbatimChar"/>
        </w:rPr>
        <w:t xml:space="preserve">G=0</w:t>
      </w:r>
      <w:r>
        <w:t xml:space="preserve">; deliberate</w:t>
      </w:r>
      <w:r>
        <w:t xml:space="preserve"> </w:t>
      </w:r>
      <w:r>
        <w:t xml:space="preserve">tracker abstention was not inferred from rejection alone.</w:t>
      </w:r>
    </w:p>
    <w:p>
      <w:pPr>
        <w:pStyle w:val="BodyText"/>
      </w:pPr>
      <w:r>
        <w:t xml:space="preserve">Physical branch consistency was evaluated separately from measurability. The</w:t>
      </w:r>
      <w:r>
        <w:t xml:space="preserve"> </w:t>
      </w:r>
      <w:r>
        <w:t xml:space="preserve">local physics baseline defined reference-visible opportunities and an allowed</w:t>
      </w:r>
      <w:r>
        <w:t xml:space="preserve"> </w:t>
      </w:r>
      <w:r>
        <w:t xml:space="preserve">radial branch. An accepted Gaussian position could therefore be measurable yet</w:t>
      </w:r>
      <w:r>
        <w:t xml:space="preserve"> </w:t>
      </w:r>
      <w:r>
        <w:t xml:space="preserve">classified as out of branch. This separation prevents coverage and physical</w:t>
      </w:r>
      <w:r>
        <w:t xml:space="preserve"> </w:t>
      </w:r>
      <w:r>
        <w:t xml:space="preserve">consistency from being combined into one generic score. It also preserves the</w:t>
      </w:r>
      <w:r>
        <w:t xml:space="preserve"> </w:t>
      </w:r>
      <w:r>
        <w:t xml:space="preserve">possibility that a simplified radial model and an independently observed native</w:t>
      </w:r>
      <w:r>
        <w:t xml:space="preserve"> </w:t>
      </w:r>
      <w:r>
        <w:t xml:space="preserve">target disagree for reasons that do not imply loss of spot identity.</w:t>
      </w:r>
    </w:p>
    <w:bookmarkEnd w:id="19"/>
    <w:bookmarkStart w:id="20" w:name="X2efa4ccd230cc4ea83aeb2293f0865455375a84"/>
    <w:p>
      <w:pPr>
        <w:pStyle w:val="Heading2"/>
      </w:pPr>
      <w:r>
        <w:t xml:space="preserve">2.3 Native whole-pattern ViPErLEED measurement contract</w:t>
      </w:r>
    </w:p>
    <w:p>
      <w:pPr>
        <w:pStyle w:val="FirstParagraph"/>
      </w:pPr>
      <w:r>
        <w:t xml:space="preserve">The external contract used ViPErLEED-ImageJ 1.03 through its native indexed</w:t>
      </w:r>
      <w:r>
        <w:t xml:space="preserve"> </w:t>
      </w:r>
      <w:r>
        <w:t xml:space="preserve">whole-pattern pathway. A restricted pilot froze the pattern, screen geometry,</w:t>
      </w:r>
      <w:r>
        <w:t xml:space="preserve"> </w:t>
      </w:r>
      <w:r>
        <w:t xml:space="preserve">beam mapping, mask, and tracking settings before the principal native outcomes</w:t>
      </w:r>
      <w:r>
        <w:t xml:space="preserve"> </w:t>
      </w:r>
      <w:r>
        <w:t xml:space="preserve">were available. The final pilot screen fit was transferred unchanged to each</w:t>
      </w:r>
      <w:r>
        <w:t xml:space="preserve"> </w:t>
      </w:r>
      <w:r>
        <w:t xml:space="preserve">principal scan. The pilot served as calibration evidence and was not treated</w:t>
      </w:r>
      <w:r>
        <w:t xml:space="preserve"> </w:t>
      </w:r>
      <w:r>
        <w:t xml:space="preserve">as an independent confirmation dataset.</w:t>
      </w:r>
    </w:p>
    <w:p>
      <w:pPr>
        <w:pStyle w:val="BodyText"/>
      </w:pPr>
      <w:r>
        <w:t xml:space="preserve">The full native exports retained 18 indexed beams across all frames. Four</w:t>
      </w:r>
      <w:r>
        <w:t xml:space="preserve"> </w:t>
      </w:r>
      <w:r>
        <w:t xml:space="preserve">preregistered branches were reduced without loss for the cross-contract join.</w:t>
      </w:r>
      <w:r>
        <w:t xml:space="preserve"> </w:t>
      </w:r>
      <w:r>
        <w:t xml:space="preserve">A mapped beam satisfied</w:t>
      </w:r>
      <w:r>
        <w:t xml:space="preserve"> </w:t>
      </w:r>
      <w:r>
        <w:rPr>
          <w:b/>
          <w:bCs/>
        </w:rPr>
        <w:t xml:space="preserve">ViPEr-native direct detectability</w:t>
      </w:r>
      <w:r>
        <w:t xml:space="preserve"> </w:t>
      </w:r>
      <w:r>
        <w:t xml:space="preserve">(</w:t>
      </w:r>
      <w:r>
        <w:rPr>
          <w:rStyle w:val="VerbatimChar"/>
        </w:rPr>
        <w:t xml:space="preserve">V=1</w:t>
      </w:r>
      <w:r>
        <w:t xml:space="preserve">) only when</w:t>
      </w:r>
      <w:r>
        <w:t xml:space="preserve"> </w:t>
      </w:r>
      <w:r>
        <w:t xml:space="preserve">its native significance met the nominal threshold of 2.5 and both raw</w:t>
      </w:r>
      <w:r>
        <w:t xml:space="preserve"> </w:t>
      </w:r>
      <w:r>
        <w:t xml:space="preserve">position deviations were finite. A smoothed, extrapolated, or final native</w:t>
      </w:r>
      <w:r>
        <w:t xml:space="preserve"> </w:t>
      </w:r>
      <w:r>
        <w:t xml:space="preserve">coordinate alone did not qualify. All 19 non-direct branch observations were</w:t>
      </w:r>
      <w:r>
        <w:t xml:space="preserve"> </w:t>
      </w:r>
      <w:r>
        <w:t xml:space="preserve">retained among the 324 opportunities, even where a final native position was</w:t>
      </w:r>
      <w:r>
        <w:t xml:space="preserve"> </w:t>
      </w:r>
      <w:r>
        <w:t xml:space="preserve">available.</w:t>
      </w:r>
    </w:p>
    <w:p>
      <w:pPr>
        <w:pStyle w:val="BodyText"/>
      </w:pPr>
      <w:r>
        <w:t xml:space="preserve">Native raw deviations were transformed through the declared coordinate</w:t>
      </w:r>
      <w:r>
        <w:t xml:space="preserve"> </w:t>
      </w:r>
      <w:r>
        <w:t xml:space="preserve">alignment to obtain the mapped direct target used for cross-contract distance.</w:t>
      </w:r>
      <w:r>
        <w:t xml:space="preserve"> </w:t>
      </w:r>
      <w:r>
        <w:t xml:space="preserve">The native output was not cropped into a local region and was not refitted by</w:t>
      </w:r>
      <w:r>
        <w:t xml:space="preserve"> </w:t>
      </w:r>
      <w:r>
        <w:t xml:space="preserve">the TrackLEED Gaussian estimator. This preserves the scientific contrast:</w:t>
      </w:r>
      <w:r>
        <w:t xml:space="preserve"> </w:t>
      </w:r>
      <w:r>
        <w:t xml:space="preserve">local evidence depends on a proposal-specific region and accepted local image</w:t>
      </w:r>
      <w:r>
        <w:t xml:space="preserve"> </w:t>
      </w:r>
      <w:r>
        <w:t xml:space="preserve">fit, whereas native evidence depends on indexed pattern registration and a</w:t>
      </w:r>
      <w:r>
        <w:t xml:space="preserve"> </w:t>
      </w:r>
      <w:r>
        <w:t xml:space="preserve">direct beam observation. Neither endpoint supplies absolute position or</w:t>
      </w:r>
      <w:r>
        <w:t xml:space="preserve"> </w:t>
      </w:r>
      <w:r>
        <w:t xml:space="preserve">spot-identity ground truth.</w:t>
      </w:r>
    </w:p>
    <w:bookmarkEnd w:id="20"/>
    <w:bookmarkStart w:id="21" w:name="Xe4a5b5fb0f566045625569c49e23bd5d349376f"/>
    <w:p>
      <w:pPr>
        <w:pStyle w:val="Heading2"/>
      </w:pPr>
      <w:r>
        <w:t xml:space="preserve">2.4 Four-state observability and denominator rules</w:t>
      </w:r>
    </w:p>
    <w:p>
      <w:pPr>
        <w:pStyle w:val="FirstParagraph"/>
      </w:pPr>
      <w:r>
        <w:t xml:space="preserve">For every method-opportunity row, the binary contract states defined four</w:t>
      </w:r>
      <w:r>
        <w:t xml:space="preserve"> </w:t>
      </w:r>
      <w:r>
        <w:t xml:space="preserve">mutually exclusive outcomes: both contracts observe (</w:t>
      </w:r>
      <w:r>
        <w:rPr>
          <w:rStyle w:val="VerbatimChar"/>
        </w:rPr>
        <w:t xml:space="preserve">G=1, V=1</w:t>
      </w:r>
      <w:r>
        <w:t xml:space="preserve">), Gaussian</w:t>
      </w:r>
      <w:r>
        <w:t xml:space="preserve"> </w:t>
      </w:r>
      <w:r>
        <w:t xml:space="preserve">only (</w:t>
      </w:r>
      <w:r>
        <w:rPr>
          <w:rStyle w:val="VerbatimChar"/>
        </w:rPr>
        <w:t xml:space="preserve">G=1, V=0</w:t>
      </w:r>
      <w:r>
        <w:t xml:space="preserve">), ViPErLEED only (</w:t>
      </w:r>
      <w:r>
        <w:rPr>
          <w:rStyle w:val="VerbatimChar"/>
        </w:rPr>
        <w:t xml:space="preserve">G=0, V=1</w:t>
      </w:r>
      <w:r>
        <w:t xml:space="preserve">), and neither contract observes</w:t>
      </w:r>
      <w:r>
        <w:t xml:space="preserve"> </w:t>
      </w:r>
      <w:r>
        <w:t xml:space="preserve">(</w:t>
      </w:r>
      <w:r>
        <w:rPr>
          <w:rStyle w:val="VerbatimChar"/>
        </w:rPr>
        <w:t xml:space="preserve">G=0, V=0</w:t>
      </w:r>
      <w:r>
        <w:t xml:space="preserve">). Each method retained the fixed denominator of 324. Counts were</w:t>
      </w:r>
      <w:r>
        <w:t xml:space="preserve"> </w:t>
      </w:r>
      <w:r>
        <w:t xml:space="preserve">reported separately by method because the five local proposal pathways are</w:t>
      </w:r>
      <w:r>
        <w:t xml:space="preserve"> </w:t>
      </w:r>
      <w:r>
        <w:t xml:space="preserve">strata applied to the same acquisitions, not independent repetitions that can</w:t>
      </w:r>
      <w:r>
        <w:t xml:space="preserve"> </w:t>
      </w:r>
      <w:r>
        <w:t xml:space="preserve">be pooled into a denominator of 1,620.</w:t>
      </w:r>
    </w:p>
    <w:p>
      <w:pPr>
        <w:pStyle w:val="BodyText"/>
      </w:pPr>
      <w:r>
        <w:t xml:space="preserve">Three additional denominators answer different questions. First,</w:t>
      </w:r>
      <w:r>
        <w:t xml:space="preserve"> </w:t>
      </w:r>
      <w:r>
        <w:t xml:space="preserve">branch-consistent measurement coverage uses the fixed set of 221</w:t>
      </w:r>
      <w:r>
        <w:t xml:space="preserve"> </w:t>
      </w:r>
      <w:r>
        <w:t xml:space="preserve">physics-baseline-visible opportunities for each method. Its numerator is the</w:t>
      </w:r>
      <w:r>
        <w:t xml:space="preserve"> </w:t>
      </w:r>
      <w:r>
        <w:t xml:space="preserve">number with an accepted Gaussian measurement on the predeclared radial branch.</w:t>
      </w:r>
      <w:r>
        <w:t xml:space="preserve"> </w:t>
      </w:r>
      <w:r>
        <w:t xml:space="preserve">Second, the all-frame conditional out-of-branch fraction uses all accepted</w:t>
      </w:r>
      <w:r>
        <w:t xml:space="preserve"> </w:t>
      </w:r>
      <w:r>
        <w:t xml:space="preserve">Gaussian fits for the method, which ranges from 206 to 272, as its denominator;</w:t>
      </w:r>
      <w:r>
        <w:t xml:space="preserve"> </w:t>
      </w:r>
      <w:r>
        <w:t xml:space="preserve">its numerator is the accepted out-of-branch count. Third, continuation</w:t>
      </w:r>
      <w:r>
        <w:t xml:space="preserve"> </w:t>
      </w:r>
      <w:r>
        <w:t xml:space="preserve">classification is conditional on the 124 accepted out-of-branch events across</w:t>
      </w:r>
      <w:r>
        <w:t xml:space="preserve"> </w:t>
      </w:r>
      <w:r>
        <w:t xml:space="preserve">method strata, not on all 324 opportunities and not on the fixed set of 221.</w:t>
      </w:r>
    </w:p>
    <w:p>
      <w:pPr>
        <w:pStyle w:val="BodyText"/>
      </w:pPr>
      <w:r>
        <w:t xml:space="preserve">Percentages are reported only after these numerators and denominators are</w:t>
      </w:r>
      <w:r>
        <w:t xml:space="preserve"> </w:t>
      </w:r>
      <w:r>
        <w:t xml:space="preserve">named. Fixed coverage and conditional continuation fractions are not summed,</w:t>
      </w:r>
      <w:r>
        <w:t xml:space="preserve"> </w:t>
      </w:r>
      <w:r>
        <w:t xml:space="preserve">averaged, or treated as components of a composite method score. A method can</w:t>
      </w:r>
      <w:r>
        <w:t xml:space="preserve"> </w:t>
      </w:r>
      <w:r>
        <w:t xml:space="preserve">have high fixed branch-consistent coverage while also contributing more</w:t>
      </w:r>
      <w:r>
        <w:t xml:space="preserve"> </w:t>
      </w:r>
      <w:r>
        <w:t xml:space="preserve">accepted out-of-branch events because it returns more accepted fits overall.</w:t>
      </w:r>
      <w:r>
        <w:t xml:space="preserve"> </w:t>
      </w:r>
      <w:r>
        <w:t xml:space="preserve">The two quantities describe different properties of the measurement chain.</w:t>
      </w:r>
    </w:p>
    <w:bookmarkEnd w:id="21"/>
    <w:bookmarkStart w:id="22" w:name="bounded-gaps-and-comparison-components"/>
    <w:p>
      <w:pPr>
        <w:pStyle w:val="Heading2"/>
      </w:pPr>
      <w:r>
        <w:t xml:space="preserve">2.5 Bounded gaps and comparison components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Gaussian-contract gap</w:t>
      </w:r>
      <w:r>
        <w:t xml:space="preserve"> </w:t>
      </w:r>
      <w:r>
        <w:t xml:space="preserve">was a maximal contiguous run of</w:t>
      </w:r>
      <w:r>
        <w:t xml:space="preserve"> </w:t>
      </w:r>
      <w:r>
        <w:rPr>
          <w:rStyle w:val="VerbatimChar"/>
        </w:rPr>
        <w:t xml:space="preserve">G=0</w:t>
      </w:r>
      <w:r>
        <w:t xml:space="preserve"> </w:t>
      </w:r>
      <w:r>
        <w:t xml:space="preserve">for one</w:t>
      </w:r>
      <w:r>
        <w:t xml:space="preserve"> </w:t>
      </w:r>
      <w:r>
        <w:t xml:space="preserve">method, scan, and branch, bounded immediately before and after by</w:t>
      </w:r>
      <w:r>
        <w:t xml:space="preserve"> </w:t>
      </w:r>
      <w:r>
        <w:rPr>
          <w:rStyle w:val="VerbatimChar"/>
        </w:rPr>
        <w:t xml:space="preserve">G=1</w:t>
      </w:r>
      <w:r>
        <w:t xml:space="preserve"> </w:t>
      </w:r>
      <w:r>
        <w:t xml:space="preserve">for the</w:t>
      </w:r>
      <w:r>
        <w:t xml:space="preserve"> </w:t>
      </w:r>
      <w:r>
        <w:t xml:space="preserve">same stratum. A</w:t>
      </w:r>
      <w:r>
        <w:t xml:space="preserve"> </w:t>
      </w:r>
      <w:r>
        <w:rPr>
          <w:b/>
          <w:bCs/>
        </w:rPr>
        <w:t xml:space="preserve">ViPEr-native visibility gap</w:t>
      </w:r>
      <w:r>
        <w:t xml:space="preserve"> </w:t>
      </w:r>
      <w:r>
        <w:t xml:space="preserve">was the corresponding maximal</w:t>
      </w:r>
      <w:r>
        <w:t xml:space="preserve"> </w:t>
      </w:r>
      <w:r>
        <w:t xml:space="preserve">bounded run of</w:t>
      </w:r>
      <w:r>
        <w:t xml:space="preserve"> </w:t>
      </w:r>
      <w:r>
        <w:rPr>
          <w:rStyle w:val="VerbatimChar"/>
        </w:rPr>
        <w:t xml:space="preserve">V=0</w:t>
      </w:r>
      <w:r>
        <w:t xml:space="preserve"> </w:t>
      </w:r>
      <w:r>
        <w:t xml:space="preserve">for one indexed beam within one scan, with direct native</w:t>
      </w:r>
      <w:r>
        <w:t xml:space="preserve"> </w:t>
      </w:r>
      <w:r>
        <w:t xml:space="preserve">detections on both sides. Runs reaching an edge without both boundaries were</w:t>
      </w:r>
      <w:r>
        <w:t xml:space="preserve"> </w:t>
      </w:r>
      <w:r>
        <w:t xml:space="preserve">retained as non-direct observations but were not relabeled as bounded gaps.</w:t>
      </w:r>
      <w:r>
        <w:t xml:space="preserve"> </w:t>
      </w:r>
      <w:r>
        <w:t xml:space="preserve">Neither gap definition establishes physical disappearance or an</w:t>
      </w:r>
      <w:r>
        <w:t xml:space="preserve"> </w:t>
      </w:r>
      <w:r>
        <w:t xml:space="preserve">estimator-independent I(V) visibility gap.</w:t>
      </w:r>
    </w:p>
    <w:p>
      <w:pPr>
        <w:pStyle w:val="BodyText"/>
      </w:pPr>
      <w:r>
        <w:t xml:space="preserve">Gap intervals from the two contracts were compared separately within each</w:t>
      </w:r>
      <w:r>
        <w:t xml:space="preserve"> </w:t>
      </w:r>
      <w:r>
        <w:t xml:space="preserve">method, scan, and branch. Overlapping closed intervals were joined into a</w:t>
      </w:r>
      <w:r>
        <w:t xml:space="preserve"> </w:t>
      </w:r>
      <w:r>
        <w:t xml:space="preserve">comparison component. A component was Gaussian-only, ViPErLEED-only, or shared</w:t>
      </w:r>
      <w:r>
        <w:t xml:space="preserve"> </w:t>
      </w:r>
      <w:r>
        <w:t xml:space="preserve">according to the contracts represented. Exact boundary agreement required one</w:t>
      </w:r>
      <w:r>
        <w:t xml:space="preserve"> </w:t>
      </w:r>
      <w:r>
        <w:t xml:space="preserve">gap from each contract with identical first and last gap frames. At the first</w:t>
      </w:r>
      <w:r>
        <w:t xml:space="preserve"> </w:t>
      </w:r>
      <w:r>
        <w:t xml:space="preserve">frame after each component, the analysis recorded whether each contract</w:t>
      </w:r>
      <w:r>
        <w:t xml:space="preserve"> </w:t>
      </w:r>
      <w:r>
        <w:t xml:space="preserve">observed. This quantity is described as joint observation at component exit,</w:t>
      </w:r>
      <w:r>
        <w:t xml:space="preserve"> </w:t>
      </w:r>
      <w:r>
        <w:t xml:space="preserve">not proven recovery of physical spot identity.</w:t>
      </w:r>
    </w:p>
    <w:bookmarkEnd w:id="22"/>
    <w:bookmarkStart w:id="23" w:name="X43ef52a774f4a8ab81ec8b0f90758f18aca0082"/>
    <w:p>
      <w:pPr>
        <w:pStyle w:val="Heading2"/>
      </w:pPr>
      <w:r>
        <w:t xml:space="preserve">2.6 Interpreting accepted out-of-branch continuations</w:t>
      </w:r>
    </w:p>
    <w:p>
      <w:pPr>
        <w:pStyle w:val="FirstParagraph"/>
      </w:pPr>
      <w:r>
        <w:t xml:space="preserve">An accepted local fit outside the predeclared radial branch was retained as an</w:t>
      </w:r>
      <w:r>
        <w:t xml:space="preserve"> </w:t>
      </w:r>
      <w:r>
        <w:t xml:space="preserve">accepted out-of-branch event. If the mapped indexed beam had a direct native</w:t>
      </w:r>
      <w:r>
        <w:t xml:space="preserve"> </w:t>
      </w:r>
      <w:r>
        <w:t xml:space="preserve">observation, the aligned Gaussian-to-native distance determined one of two</w:t>
      </w:r>
      <w:r>
        <w:t xml:space="preserve"> </w:t>
      </w:r>
      <w:r>
        <w:t xml:space="preserve">interpretations at the nominal positional tolerance of 1.0 px. A distance at</w:t>
      </w:r>
      <w:r>
        <w:t xml:space="preserve"> </w:t>
      </w:r>
      <w:r>
        <w:t xml:space="preserve">or below tolerance was</w:t>
      </w:r>
      <w:r>
        <w:t xml:space="preserve"> </w:t>
      </w:r>
      <w:r>
        <w:rPr>
          <w:b/>
          <w:bCs/>
        </w:rPr>
        <w:t xml:space="preserve">branch-model disagreement</w:t>
      </w:r>
      <w:r>
        <w:t xml:space="preserve">: the local measurement</w:t>
      </w:r>
      <w:r>
        <w:t xml:space="preserve"> </w:t>
      </w:r>
      <w:r>
        <w:t xml:space="preserve">departed from the simplified branch model but remained consistent with the</w:t>
      </w:r>
      <w:r>
        <w:t xml:space="preserve"> </w:t>
      </w:r>
      <w:r>
        <w:t xml:space="preserve">direct native target. A distance above tolerance was</w:t>
      </w:r>
      <w:r>
        <w:t xml:space="preserve"> </w:t>
      </w:r>
      <w:r>
        <w:rPr>
          <w:b/>
          <w:bCs/>
        </w:rPr>
        <w:t xml:space="preserve">Cross-contract target</w:t>
      </w:r>
      <w:r>
        <w:rPr>
          <w:b/>
          <w:bCs/>
        </w:rPr>
        <w:t xml:space="preserve"> </w:t>
      </w:r>
      <w:r>
        <w:rPr>
          <w:b/>
          <w:bCs/>
        </w:rPr>
        <w:t xml:space="preserve">inconsistency</w:t>
      </w:r>
      <w:r>
        <w:t xml:space="preserve">. Such inconsistency is compatible with possible false</w:t>
      </w:r>
      <w:r>
        <w:t xml:space="preserve"> </w:t>
      </w:r>
      <w:r>
        <w:t xml:space="preserve">persistence, but it does not prove a ground-truth identity switch, a local</w:t>
      </w:r>
      <w:r>
        <w:t xml:space="preserve"> </w:t>
      </w:r>
      <w:r>
        <w:t xml:space="preserve">tracking error, or a native failure.</w:t>
      </w:r>
    </w:p>
    <w:p>
      <w:pPr>
        <w:pStyle w:val="BodyText"/>
      </w:pPr>
      <w:r>
        <w:t xml:space="preserve">An event without the required direct native observation was retained as an</w:t>
      </w:r>
      <w:r>
        <w:t xml:space="preserve"> </w:t>
      </w:r>
      <w:r>
        <w:rPr>
          <w:b/>
          <w:bCs/>
        </w:rPr>
        <w:t xml:space="preserve">Unresolved cross-contract outcome</w:t>
      </w:r>
      <w:r>
        <w:t xml:space="preserve">. A final or smoothed native position did</w:t>
      </w:r>
      <w:r>
        <w:t xml:space="preserve"> </w:t>
      </w:r>
      <w:r>
        <w:t xml:space="preserve">not resolve it. Unresolved cross-contract outcomes were neither assigned to</w:t>
      </w:r>
      <w:r>
        <w:t xml:space="preserve"> </w:t>
      </w:r>
      <w:r>
        <w:t xml:space="preserve">branch-model</w:t>
      </w:r>
      <w:r>
        <w:t xml:space="preserve"> </w:t>
      </w:r>
      <w:r>
        <w:t xml:space="preserve">disagreement nor Cross-contract target inconsistency, and were not removed</w:t>
      </w:r>
      <w:r>
        <w:t xml:space="preserve"> </w:t>
      </w:r>
      <w:r>
        <w:t xml:space="preserve">from the conditional denominator. These rules separate lack of direct evidence</w:t>
      </w:r>
      <w:r>
        <w:t xml:space="preserve"> </w:t>
      </w:r>
      <w:r>
        <w:t xml:space="preserve">from evidence of positional disagreement.</w:t>
      </w:r>
    </w:p>
    <w:bookmarkEnd w:id="23"/>
    <w:bookmarkStart w:id="24" w:name="predeclared-sensitivity-and-reporting"/>
    <w:p>
      <w:pPr>
        <w:pStyle w:val="Heading2"/>
      </w:pPr>
      <w:r>
        <w:t xml:space="preserve">2.7 Predeclared sensitivity and reporting</w:t>
      </w:r>
    </w:p>
    <w:p>
      <w:pPr>
        <w:pStyle w:val="FirstParagraph"/>
      </w:pPr>
      <w:r>
        <w:t xml:space="preserve">The nominal analysis used native significance 2.5 and positional tolerance</w:t>
      </w:r>
      <w:r>
        <w:t xml:space="preserve"> </w:t>
      </w:r>
      <w:r>
        <w:t xml:space="preserve">1.0 px. A limited Cartesian sensitivity grid used significance thresholds</w:t>
      </w:r>
      <w:r>
        <w:t xml:space="preserve"> </w:t>
      </w:r>
      <w:r>
        <w:t xml:space="preserve">2.0, 2.5, and 3.0 and tolerances 0.5, 1.0, and 2.0 px. All nine variants were</w:t>
      </w:r>
      <w:r>
        <w:t xml:space="preserve"> </w:t>
      </w:r>
      <w:r>
        <w:t xml:space="preserve">reported for all five method strata, producing 45 method-variant rows. No</w:t>
      </w:r>
      <w:r>
        <w:t xml:space="preserve"> </w:t>
      </w:r>
      <w:r>
        <w:t xml:space="preserve">variant was selected, and the grid was not used to optimize a method ranking.</w:t>
      </w:r>
    </w:p>
    <w:p>
      <w:pPr>
        <w:pStyle w:val="BodyText"/>
      </w:pPr>
      <w:r>
        <w:t xml:space="preserve">All analyses were descriptive. The nested opportunities and comparison</w:t>
      </w:r>
      <w:r>
        <w:t xml:space="preserve"> </w:t>
      </w:r>
      <w:r>
        <w:t xml:space="preserve">components do not support treating row counts as independent sample size for</w:t>
      </w:r>
      <w:r>
        <w:t xml:space="preserve"> </w:t>
      </w:r>
      <w:r>
        <w:t xml:space="preserve">hypothesis tests. We therefore report exact counts, explicit fixed or</w:t>
      </w:r>
      <w:r>
        <w:t xml:space="preserve"> </w:t>
      </w:r>
      <w:r>
        <w:t xml:space="preserve">conditional denominators, and bounded sensitivity ranges rather than pooled</w:t>
      </w:r>
      <w:r>
        <w:t xml:space="preserve"> </w:t>
      </w:r>
      <w:r>
        <w:t xml:space="preserve">confidence intervals or significance tests. Machine-readable per-opportunity</w:t>
      </w:r>
      <w:r>
        <w:t xml:space="preserve"> </w:t>
      </w:r>
      <w:r>
        <w:t xml:space="preserve">records, configurations, and hashes remain repository artifacts rather than</w:t>
      </w:r>
      <w:r>
        <w:t xml:space="preserve"> </w:t>
      </w:r>
      <w:r>
        <w:t xml:space="preserve">reader-facing main-text displays.</w:t>
      </w:r>
    </w:p>
    <w:bookmarkEnd w:id="24"/>
    <w:bookmarkEnd w:id="25"/>
    <w:bookmarkStart w:id="39" w:name="results"/>
    <w:p>
      <w:pPr>
        <w:pStyle w:val="Heading1"/>
      </w:pPr>
      <w:r>
        <w:t xml:space="preserve">3. Results</w:t>
      </w:r>
    </w:p>
    <w:bookmarkStart w:id="30" w:name="Xe678199748e24c08caf2bc2e649dc881140cb9e"/>
    <w:p>
      <w:pPr>
        <w:pStyle w:val="Heading2"/>
      </w:pPr>
      <w:r>
        <w:t xml:space="preserve">3.1 Observability differed across measurement contracts</w:t>
      </w:r>
    </w:p>
    <w:p>
      <w:pPr>
        <w:pStyle w:val="FirstParagraph"/>
      </w:pPr>
      <w:r>
        <w:t xml:space="preserve">Figure 2 shows the observability states and bounded-gap components.</w:t>
      </w:r>
    </w:p>
    <w:p>
      <w:pPr>
        <w:pStyle w:val="BodyText"/>
      </w:pPr>
      <w:r>
        <w:t xml:space="preserve">The native contract directly detected 305 of 324 mapped branch opportunities</w:t>
      </w:r>
      <w:r>
        <w:t xml:space="preserve"> </w:t>
      </w:r>
      <w:r>
        <w:t xml:space="preserve">and retained 19 non-direct states. The local measurable count varied with the</w:t>
      </w:r>
      <w:r>
        <w:t xml:space="preserve"> </w:t>
      </w:r>
      <w:r>
        <w:t xml:space="preserve">proposal method: 222 for EasyLEED, 272 for LocoTrack, 269 for OSTrack, 272 for</w:t>
      </w:r>
      <w:r>
        <w:t xml:space="preserve"> </w:t>
      </w:r>
      <w:r>
        <w:t xml:space="preserve">DAM4SAM, and 206 for Lucas-Kanade. Combining these states showed a consistent</w:t>
      </w:r>
      <w:r>
        <w:t xml:space="preserve"> </w:t>
      </w:r>
      <w:r>
        <w:t xml:space="preserve">directional asymmetry. Every method contained more ViPErLEED-only than</w:t>
      </w:r>
      <w:r>
        <w:t xml:space="preserve"> </w:t>
      </w:r>
      <w:r>
        <w:t xml:space="preserve">Gaussian-only opportunities.</w:t>
      </w:r>
    </w:p>
    <w:p>
      <w:pPr>
        <w:pStyle w:val="BodyText"/>
      </w:pPr>
      <w:r>
        <w:t xml:space="preserve">For EasyLEED, the both/Gaussian-only/ViPErLEED-only/neither counts were</w:t>
      </w:r>
      <w:r>
        <w:t xml:space="preserve"> </w:t>
      </w:r>
      <w:r>
        <w:t xml:space="preserve">222/0/83/19. The corresponding counts were 262/10/43/9 for LocoTrack,</w:t>
      </w:r>
      <w:r>
        <w:t xml:space="preserve"> </w:t>
      </w:r>
      <w:r>
        <w:t xml:space="preserve">259/10/46/9 for OSTrack, 262/10/43/9 for DAM4SAM, and 205/1/100/18 for</w:t>
      </w:r>
      <w:r>
        <w:t xml:space="preserve"> </w:t>
      </w:r>
      <w:r>
        <w:t xml:space="preserve">Lucas-Kanade. Each four-number set sums to the fixed denominator of 324. The</w:t>
      </w:r>
      <w:r>
        <w:t xml:space="preserve"> </w:t>
      </w:r>
      <w:r>
        <w:t xml:space="preserve">five method rows were not pooled because the shared native state and common</w:t>
      </w:r>
      <w:r>
        <w:t xml:space="preserve"> </w:t>
      </w:r>
      <w:r>
        <w:t xml:space="preserve">acquisitions would make a pooled 1,620-row percentage appear more independent</w:t>
      </w:r>
      <w:r>
        <w:t xml:space="preserve"> </w:t>
      </w:r>
      <w:r>
        <w:t xml:space="preserve">than the design permits.</w:t>
      </w:r>
    </w:p>
    <w:bookmarkStart w:id="29" w:name="figure-2"/>
    <w:p>
      <w:pPr>
        <w:pStyle w:val="CaptionedFigure"/>
        <w:spacing w:before="40" w:after="0" w:line="240" w:lineRule="auto"/>
        <w:jc w:val="center"/>
        <w:keepNext w:val="1"/>
      </w:pPr>
      <w:r>
        <w:drawing>
          <wp:inline>
            <wp:extent cx="3168000" cy="3527793"/>
            <wp:effectExtent b="0" l="0" r="0" t="0"/>
            <wp:docPr descr="Figure 2. Cross-contract observability and bounded-gap comparison. Each measurability row retains 324 fixed opportunities per method. Gap bars count overlap-connected components formed within method, scan, and branch; these nested descriptive events are not independent experimental replicates." title="" id="27" name="Picture"/>
            <a:graphic>
              <a:graphicData uri="http://schemas.openxmlformats.org/drawingml/2006/picture">
                <pic:pic>
                  <pic:nvPicPr>
                    <pic:cNvPr descr="manuscript/cross_contract/figures/output/figure02_measurability_and_gaps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8000" cy="35277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Figure 2. Cross-contract observability and bounded-gap comparison. Each measurability row retains 324 fixed opportunities per method. Gap bars count overlap-connected components formed within method, scan, and branch; these nested descriptive events are not independent experimental replicates.</w:t>
      </w:r>
    </w:p>
    <w:bookmarkEnd w:id="29"/>
    <w:bookmarkEnd w:id="30"/>
    <w:bookmarkStart w:id="31" w:name="X333378980aa528bade64f6dd325c3c32d9a339f"/>
    <w:p>
      <w:pPr>
        <w:pStyle w:val="Heading2"/>
      </w:pPr>
      <w:r>
        <w:t xml:space="preserve">3.2 Bounded gap attribution was strongly contract specific</w:t>
      </w:r>
    </w:p>
    <w:p>
      <w:pPr>
        <w:pStyle w:val="FirstParagraph"/>
      </w:pPr>
      <w:r>
        <w:t xml:space="preserve">The local chains produced 114 Gaussian-contract gaps: 22 for EasyLEED, 25 for</w:t>
      </w:r>
      <w:r>
        <w:t xml:space="preserve"> </w:t>
      </w:r>
      <w:r>
        <w:t xml:space="preserve">LocoTrack, 24 for OSTrack, 23 for DAM4SAM, and 20 for Lucas-Kanade. The native</w:t>
      </w:r>
      <w:r>
        <w:t xml:space="preserve"> </w:t>
      </w:r>
      <w:r>
        <w:t xml:space="preserve">contract produced two ViPEr-native visibility gaps. Other native non-direct</w:t>
      </w:r>
      <w:r>
        <w:t xml:space="preserve"> </w:t>
      </w:r>
      <w:r>
        <w:t xml:space="preserve">states occurred at unbounded edges or runs and remained explicit without being</w:t>
      </w:r>
      <w:r>
        <w:t xml:space="preserve"> </w:t>
      </w:r>
      <w:r>
        <w:t xml:space="preserve">promoted to bounded events.</w:t>
      </w:r>
    </w:p>
    <w:p>
      <w:pPr>
        <w:pStyle w:val="BodyText"/>
      </w:pPr>
      <w:r>
        <w:t xml:space="preserve">Comparison within method, scan, and branch yielded 121 overlap-connected</w:t>
      </w:r>
      <w:r>
        <w:t xml:space="preserve"> </w:t>
      </w:r>
      <w:r>
        <w:t xml:space="preserve">components. Of these, 111 were Gaussian-only, seven were ViPErLEED-only, and</w:t>
      </w:r>
      <w:r>
        <w:t xml:space="preserve"> </w:t>
      </w:r>
      <w:r>
        <w:t xml:space="preserve">three were shared. All three shared components contained one gap from each</w:t>
      </w:r>
      <w:r>
        <w:t xml:space="preserve"> </w:t>
      </w:r>
      <w:r>
        <w:t xml:space="preserve">contract with exactly matching boundaries. The component counts are larger</w:t>
      </w:r>
      <w:r>
        <w:t xml:space="preserve"> </w:t>
      </w:r>
      <w:r>
        <w:t xml:space="preserve">than the 114 local gap count because the two native intervals are compared</w:t>
      </w:r>
      <w:r>
        <w:t xml:space="preserve"> </w:t>
      </w:r>
      <w:r>
        <w:t xml:space="preserve">separately within each method stratum, and overlap connectivity can partition</w:t>
      </w:r>
      <w:r>
        <w:t xml:space="preserve"> </w:t>
      </w:r>
      <w:r>
        <w:t xml:space="preserve">or combine the represented intervals according to their boundaries. They are</w:t>
      </w:r>
      <w:r>
        <w:t xml:space="preserve"> </w:t>
      </w:r>
      <w:r>
        <w:t xml:space="preserve">descriptive event components, not 121 independent experiments.</w:t>
      </w:r>
    </w:p>
    <w:p>
      <w:pPr>
        <w:pStyle w:val="BodyText"/>
      </w:pPr>
      <w:r>
        <w:t xml:space="preserve">Both contracts observed at the first frame after 118 of 121 comparison</w:t>
      </w:r>
      <w:r>
        <w:t xml:space="preserve"> </w:t>
      </w:r>
      <w:r>
        <w:t xml:space="preserve">components. The method-stratified values were 23/24 for EasyLEED, 26/26 for</w:t>
      </w:r>
      <w:r>
        <w:t xml:space="preserve"> </w:t>
      </w:r>
      <w:r>
        <w:t xml:space="preserve">LocoTrack, 24/25 for OSTrack, 24/24 for DAM4SAM, and 21/22 for Lucas-Kanade.</w:t>
      </w:r>
      <w:r>
        <w:t xml:space="preserve"> </w:t>
      </w:r>
      <w:r>
        <w:t xml:space="preserve">The three non-joint exits remained in the denominator. This high frequency of</w:t>
      </w:r>
      <w:r>
        <w:t xml:space="preserve"> </w:t>
      </w:r>
      <w:r>
        <w:t xml:space="preserve">joint observation at component exit does not make the gap definitions</w:t>
      </w:r>
      <w:r>
        <w:t xml:space="preserve"> </w:t>
      </w:r>
      <w:r>
        <w:t xml:space="preserve">equivalent: most components contained a gap from only one contract.</w:t>
      </w:r>
    </w:p>
    <w:bookmarkEnd w:id="31"/>
    <w:bookmarkStart w:id="36" w:name="Xac13a13c949d49e9000b560ce4ddfc710e59c02"/>
    <w:p>
      <w:pPr>
        <w:pStyle w:val="Heading2"/>
      </w:pPr>
      <w:r>
        <w:t xml:space="preserve">3.3 Continuous accepted output separated into three interpretations</w:t>
      </w:r>
    </w:p>
    <w:p>
      <w:pPr>
        <w:pStyle w:val="FirstParagraph"/>
      </w:pPr>
      <w:r>
        <w:t xml:space="preserve">Figure 3 shows the conditional continuation classifications.</w:t>
      </w:r>
    </w:p>
    <w:p>
      <w:pPr>
        <w:pStyle w:val="BodyText"/>
      </w:pPr>
      <w:r>
        <w:t xml:space="preserve">Across method strata, 124 accepted Gaussian fits were outside the</w:t>
      </w:r>
      <w:r>
        <w:t xml:space="preserve"> </w:t>
      </w:r>
      <w:r>
        <w:t xml:space="preserve">predeclared radial branch. Direct native evidence classified 83 as</w:t>
      </w:r>
      <w:r>
        <w:t xml:space="preserve"> </w:t>
      </w:r>
      <w:r>
        <w:t xml:space="preserve">branch-model disagreement. In these events, the Gaussian measurement differed</w:t>
      </w:r>
      <w:r>
        <w:t xml:space="preserve"> </w:t>
      </w:r>
      <w:r>
        <w:t xml:space="preserve">from the simplified radial model but remained within 1.0 px of the mapped</w:t>
      </w:r>
      <w:r>
        <w:t xml:space="preserve"> </w:t>
      </w:r>
      <w:r>
        <w:t xml:space="preserve">direct native target. Sixteen events met the definition of Cross-contract</w:t>
      </w:r>
      <w:r>
        <w:t xml:space="preserve"> </w:t>
      </w:r>
      <w:r>
        <w:t xml:space="preserve">target inconsistency because the aligned direct targets differed by more than</w:t>
      </w:r>
      <w:r>
        <w:t xml:space="preserve"> </w:t>
      </w:r>
      <w:r>
        <w:t xml:space="preserve">1.0 px. The remaining 25 were Unresolved cross-contract outcomes because no</w:t>
      </w:r>
      <w:r>
        <w:t xml:space="preserve"> </w:t>
      </w:r>
      <w:r>
        <w:t xml:space="preserve">direct native observation was available.</w:t>
      </w:r>
    </w:p>
    <w:p>
      <w:pPr>
        <w:pStyle w:val="BodyText"/>
      </w:pPr>
      <w:r>
        <w:t xml:space="preserve">The method-specific conditional denominators were 4, 36, 34, 36, and 14 for</w:t>
      </w:r>
      <w:r>
        <w:t xml:space="preserve"> </w:t>
      </w:r>
      <w:r>
        <w:t xml:space="preserve">EasyLEED, LocoTrack, OSTrack, DAM4SAM, and Lucas-Kanade, respectively. EasyLEED</w:t>
      </w:r>
      <w:r>
        <w:t xml:space="preserve"> </w:t>
      </w:r>
      <w:r>
        <w:t xml:space="preserve">contributed 4/0/0 branch-model disagreement/Cross-contract target</w:t>
      </w:r>
      <w:r>
        <w:t xml:space="preserve"> </w:t>
      </w:r>
      <w:r>
        <w:t xml:space="preserve">inconsistency/Unresolved cross-contract outcome events;</w:t>
      </w:r>
      <w:r>
        <w:t xml:space="preserve"> </w:t>
      </w:r>
      <w:r>
        <w:t xml:space="preserve">LocoTrack 23/5/8; OSTrack 21/5/8; DAM4SAM 23/5/8; and Lucas-Kanade 12/1/1.</w:t>
      </w:r>
      <w:r>
        <w:t xml:space="preserve"> </w:t>
      </w:r>
      <w:r>
        <w:t xml:space="preserve">These values sum within method to its accepted out-of-branch denominator and</w:t>
      </w:r>
      <w:r>
        <w:t xml:space="preserve"> </w:t>
      </w:r>
      <w:r>
        <w:t xml:space="preserve">across methods to 83/16/25.</w:t>
      </w:r>
    </w:p>
    <w:p>
      <w:pPr>
        <w:pStyle w:val="BodyText"/>
      </w:pPr>
      <w:r>
        <w:t xml:space="preserve">This split changes the meaning of continuity. The 83 branch-model disagreements</w:t>
      </w:r>
      <w:r>
        <w:t xml:space="preserve"> </w:t>
      </w:r>
      <w:r>
        <w:t xml:space="preserve">show that leaving the predeclared radial branch does not necessarily imply</w:t>
      </w:r>
      <w:r>
        <w:t xml:space="preserve"> </w:t>
      </w:r>
      <w:r>
        <w:t xml:space="preserve">disagreement with the independently mapped native target. The 16</w:t>
      </w:r>
      <w:r>
        <w:t xml:space="preserve"> </w:t>
      </w:r>
      <w:r>
        <w:t xml:space="preserve">Cross-contract target inconsistencies provide evidence of contract-level</w:t>
      </w:r>
      <w:r>
        <w:t xml:space="preserve"> </w:t>
      </w:r>
      <w:r>
        <w:t xml:space="preserve">positional disagreement and are compatible with possible false persistence,</w:t>
      </w:r>
      <w:r>
        <w:t xml:space="preserve"> </w:t>
      </w:r>
      <w:r>
        <w:t xml:space="preserve">but neither contract can establish which target represents ground-truth</w:t>
      </w:r>
      <w:r>
        <w:t xml:space="preserve"> </w:t>
      </w:r>
      <w:r>
        <w:t xml:space="preserve">identity. The 25 Unresolved cross-contract outcomes support neither</w:t>
      </w:r>
      <w:r>
        <w:t xml:space="preserve"> </w:t>
      </w:r>
      <w:r>
        <w:t xml:space="preserve">interpretation. Retaining</w:t>
      </w:r>
      <w:r>
        <w:t xml:space="preserve"> </w:t>
      </w:r>
      <w:r>
        <w:t xml:space="preserve">them prevents missing direct evidence from being silently converted into</w:t>
      </w:r>
      <w:r>
        <w:t xml:space="preserve"> </w:t>
      </w:r>
      <w:r>
        <w:t xml:space="preserve">agreement or failure.</w:t>
      </w:r>
    </w:p>
    <w:bookmarkStart w:id="35" w:name="figure-3"/>
    <w:p>
      <w:pPr>
        <w:pStyle w:val="CaptionedFigure"/>
        <w:spacing w:before="40" w:after="0" w:line="240" w:lineRule="auto"/>
        <w:jc w:val="center"/>
        <w:keepNext w:val="1"/>
      </w:pPr>
      <w:r>
        <w:drawing>
          <wp:inline>
            <wp:extent cx="3168000" cy="3058233"/>
            <wp:effectExtent b="0" l="0" r="0" t="0"/>
            <wp:docPr descr="Figure 3. Interpretation of accepted Gaussian out-of-branch continuations. Each method-specific bar is conditional on its accepted out-of-branch events (4, 36, 34, 36, and 14), not on all 324 opportunities or the fixed 221 reference-visible set. Cross-contract target inconsistency is not proof of a ground-truth identity switch, and events without direct native evidence remain Unresolved cross-contract outcomes." title="" id="33" name="Picture"/>
            <a:graphic>
              <a:graphicData uri="http://schemas.openxmlformats.org/drawingml/2006/picture">
                <pic:pic>
                  <pic:nvPicPr>
                    <pic:cNvPr descr="manuscript/cross_contract/figures/output/figure03_out_of_branch_interpretation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8000" cy="30582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Figure 3. Interpretation of accepted Gaussian out-of-branch continuations. Each method-specific bar is conditional on its accepted out-of-branch events (4, 36, 34, 36, and 14), not on all 324 opportunities or the fixed 221 reference-visible set. Cross-contract target inconsistency is not proof of a ground-truth identity switch, and events without direct native evidence remain Unresolved cross-contract outcomes.</w:t>
      </w:r>
    </w:p>
    <w:bookmarkEnd w:id="35"/>
    <w:bookmarkEnd w:id="36"/>
    <w:bookmarkStart w:id="37" w:name="X127e087129309f2a76de6e8ab140f4c29fd90ed"/>
    <w:p>
      <w:pPr>
        <w:pStyle w:val="Heading2"/>
      </w:pPr>
      <w:r>
        <w:t xml:space="preserve">3.4 Fixed coverage and conditional continuation answer different questions</w:t>
      </w:r>
    </w:p>
    <w:p>
      <w:pPr>
        <w:pStyle w:val="FirstParagraph"/>
      </w:pPr>
      <w:r>
        <w:t xml:space="preserve">Branch-consistent measurement coverage used 221 fixed</w:t>
      </w:r>
      <w:r>
        <w:t xml:space="preserve"> </w:t>
      </w:r>
      <w:r>
        <w:t xml:space="preserve">physics-baseline-visible opportunities per method. The numerators were 214 for</w:t>
      </w:r>
      <w:r>
        <w:t xml:space="preserve"> </w:t>
      </w:r>
      <w:r>
        <w:t xml:space="preserve">EasyLEED, 217 for LocoTrack, 216 for OSTrack, 216 for DAM4SAM, and 188 for</w:t>
      </w:r>
      <w:r>
        <w:t xml:space="preserve"> </w:t>
      </w:r>
      <w:r>
        <w:t xml:space="preserve">Lucas-Kanade. These correspond to 96.8%, 98.2%, 97.7%, 97.7%, and 85.1% after</w:t>
      </w:r>
      <w:r>
        <w:t xml:space="preserve"> </w:t>
      </w:r>
      <w:r>
        <w:t xml:space="preserve">the common denominator has been stated. The result describes how often each</w:t>
      </w:r>
      <w:r>
        <w:t xml:space="preserve"> </w:t>
      </w:r>
      <w:r>
        <w:t xml:space="preserve">local chain produced an accepted position on the predeclared branch within the</w:t>
      </w:r>
      <w:r>
        <w:t xml:space="preserve"> </w:t>
      </w:r>
      <w:r>
        <w:t xml:space="preserve">fixed reference set.</w:t>
      </w:r>
    </w:p>
    <w:p>
      <w:pPr>
        <w:pStyle w:val="BodyText"/>
      </w:pPr>
      <w:r>
        <w:t xml:space="preserve">The all-frame conditional out-of-branch fraction used a different denominator:</w:t>
      </w:r>
      <w:r>
        <w:t xml:space="preserve"> </w:t>
      </w:r>
      <w:r>
        <w:t xml:space="preserve">all accepted Gaussian fits for the method. The counts were 4/222 (1.8%) for</w:t>
      </w:r>
      <w:r>
        <w:t xml:space="preserve"> </w:t>
      </w:r>
      <w:r>
        <w:t xml:space="preserve">EasyLEED, 36/272 (13.2%) for LocoTrack, 34/269 (12.6%) for OSTrack, 36/272</w:t>
      </w:r>
      <w:r>
        <w:t xml:space="preserve"> </w:t>
      </w:r>
      <w:r>
        <w:t xml:space="preserve">(13.2%) for DAM4SAM, and 14/206 (6.8%) for Lucas-Kanade. These conditional</w:t>
      </w:r>
      <w:r>
        <w:t xml:space="preserve"> </w:t>
      </w:r>
      <w:r>
        <w:t xml:space="preserve">fractions cannot replace fixed coverage. In particular, a method can have a</w:t>
      </w:r>
      <w:r>
        <w:t xml:space="preserve"> </w:t>
      </w:r>
      <w:r>
        <w:t xml:space="preserve">larger conditional numerator because it retained more accepted fits, while</w:t>
      </w:r>
      <w:r>
        <w:t xml:space="preserve"> </w:t>
      </w:r>
      <w:r>
        <w:t xml:space="preserve">another method can have a smaller numerator partly because fewer fits survived</w:t>
      </w:r>
      <w:r>
        <w:t xml:space="preserve"> </w:t>
      </w:r>
      <w:r>
        <w:t xml:space="preserve">the local contract. The measurements do not support collapsing the two</w:t>
      </w:r>
      <w:r>
        <w:t xml:space="preserve"> </w:t>
      </w:r>
      <w:r>
        <w:t xml:space="preserve">outcomes into a universal score.</w:t>
      </w:r>
    </w:p>
    <w:bookmarkEnd w:id="37"/>
    <w:bookmarkStart w:id="38" w:name="X25e30d651d287ce30fb6b5e3c101ca4f97f1d49"/>
    <w:p>
      <w:pPr>
        <w:pStyle w:val="Heading2"/>
      </w:pPr>
      <w:r>
        <w:t xml:space="preserve">3.5 Limited sensitivity preserved observability but bounded interpretation</w:t>
      </w:r>
    </w:p>
    <w:p>
      <w:pPr>
        <w:pStyle w:val="FirstParagraph"/>
      </w:pPr>
      <w:r>
        <w:t xml:space="preserve">All nine predeclared combinations of native significance and positional</w:t>
      </w:r>
      <w:r>
        <w:t xml:space="preserve"> </w:t>
      </w:r>
      <w:r>
        <w:t xml:space="preserve">tolerance reproduced the nominal four-state observability counts. Changing</w:t>
      </w:r>
      <w:r>
        <w:t xml:space="preserve"> </w:t>
      </w:r>
      <w:r>
        <w:t xml:space="preserve">the native threshold over 2.0-3.0 did not change those method totals within</w:t>
      </w:r>
      <w:r>
        <w:t xml:space="preserve"> </w:t>
      </w:r>
      <w:r>
        <w:t xml:space="preserve">the tested data. The central conclusion that observability differed between</w:t>
      </w:r>
      <w:r>
        <w:t xml:space="preserve"> </w:t>
      </w:r>
      <w:r>
        <w:t xml:space="preserve">the two contracts therefore did not depend on selecting one favorable variant.</w:t>
      </w:r>
    </w:p>
    <w:p>
      <w:pPr>
        <w:pStyle w:val="BodyText"/>
      </w:pPr>
      <w:r>
        <w:t xml:space="preserve">Positional tolerance did affect how direct out-of-branch events were</w:t>
      </w:r>
      <w:r>
        <w:t xml:space="preserve"> </w:t>
      </w:r>
      <w:r>
        <w:t xml:space="preserve">interpreted. EasyLEED remained fixed at four branch-model disagreements and</w:t>
      </w:r>
      <w:r>
        <w:t xml:space="preserve"> </w:t>
      </w:r>
      <w:r>
        <w:t xml:space="preserve">zero Cross-contract target inconsistencies. Across variants, the branch-model</w:t>
      </w:r>
      <w:r>
        <w:t xml:space="preserve"> </w:t>
      </w:r>
      <w:r>
        <w:t xml:space="preserve">disagreement and Cross-contract target inconsistency counts ranged from 17-26</w:t>
      </w:r>
      <w:r>
        <w:t xml:space="preserve"> </w:t>
      </w:r>
      <w:r>
        <w:t xml:space="preserve">and 2-11 for LocoTrack, 15-24 and 2-11 for OSTrack, 17-26 and 2-11 for DAM4SAM,</w:t>
      </w:r>
      <w:r>
        <w:t xml:space="preserve"> </w:t>
      </w:r>
      <w:r>
        <w:t xml:space="preserve">and 7-13 and 0-6 for Lucas-Kanade. The Unresolved cross-contract outcome count remained fixed</w:t>
      </w:r>
      <w:r>
        <w:t xml:space="preserve"> </w:t>
      </w:r>
      <w:r>
        <w:t xml:space="preserve">within each method because tolerance cannot create a direct native</w:t>
      </w:r>
      <w:r>
        <w:t xml:space="preserve"> </w:t>
      </w:r>
      <w:r>
        <w:t xml:space="preserve">observation where none exists.</w:t>
      </w:r>
    </w:p>
    <w:p>
      <w:pPr>
        <w:pStyle w:val="BodyText"/>
      </w:pPr>
      <w:r>
        <w:t xml:space="preserve">Thus, the sensitivity grid supports the contract-dependence of observability</w:t>
      </w:r>
      <w:r>
        <w:t xml:space="preserve"> </w:t>
      </w:r>
      <w:r>
        <w:t xml:space="preserve">and the need for three continuation categories. It also bounds the stronger</w:t>
      </w:r>
      <w:r>
        <w:t xml:space="preserve"> </w:t>
      </w:r>
      <w:r>
        <w:t xml:space="preserve">interpretation: the allocation between branch-model disagreement and</w:t>
      </w:r>
      <w:r>
        <w:t xml:space="preserve"> </w:t>
      </w:r>
      <w:r>
        <w:t xml:space="preserve">Cross-contract target inconsistency depends on the declared tolerance. The</w:t>
      </w:r>
      <w:r>
        <w:t xml:space="preserve"> </w:t>
      </w:r>
      <w:r>
        <w:t xml:space="preserve">grid is not a complete capture-basin analysis, parameter optimization, or</w:t>
      </w:r>
      <w:r>
        <w:t xml:space="preserve"> </w:t>
      </w:r>
      <w:r>
        <w:t xml:space="preserve">basis for choosing a preferred method.</w:t>
      </w:r>
    </w:p>
    <w:bookmarkEnd w:id="38"/>
    <w:bookmarkEnd w:id="39"/>
    <w:bookmarkStart w:id="46" w:name="discussion"/>
    <w:p>
      <w:pPr>
        <w:pStyle w:val="Heading1"/>
      </w:pPr>
      <w:r>
        <w:t xml:space="preserve">4. Discussion</w:t>
      </w:r>
    </w:p>
    <w:bookmarkStart w:id="40" w:name="X2c0946c64cfe3c5798d917e2b940012c7daf976"/>
    <w:p>
      <w:pPr>
        <w:pStyle w:val="Heading2"/>
      </w:pPr>
      <w:r>
        <w:t xml:space="preserve">4.1 Observability belongs to a measurement chain</w:t>
      </w:r>
    </w:p>
    <w:p>
      <w:pPr>
        <w:pStyle w:val="FirstParagraph"/>
      </w:pPr>
      <w:r>
        <w:t xml:space="preserve">The dominant result is not that one contract found more spots in an intrinsic</w:t>
      </w:r>
      <w:r>
        <w:t xml:space="preserve"> </w:t>
      </w:r>
      <w:r>
        <w:t xml:space="preserve">sense. It is that the operational availability of a LEED spot measurement</w:t>
      </w:r>
      <w:r>
        <w:t xml:space="preserve"> </w:t>
      </w:r>
      <w:r>
        <w:t xml:space="preserve">changed with the pathway used to construct it. The local contract required a</w:t>
      </w:r>
      <w:r>
        <w:t xml:space="preserve"> </w:t>
      </w:r>
      <w:r>
        <w:t xml:space="preserve">method-specific proposal, a valid region, a finite two-dimensional Gaussian</w:t>
      </w:r>
      <w:r>
        <w:t xml:space="preserve"> </w:t>
      </w:r>
      <w:r>
        <w:t xml:space="preserve">fit, and all local acceptance gates. The native contract required an indexed</w:t>
      </w:r>
      <w:r>
        <w:t xml:space="preserve"> </w:t>
      </w:r>
      <w:r>
        <w:t xml:space="preserve">whole-pattern registration, sufficient native significance, and finite raw</w:t>
      </w:r>
      <w:r>
        <w:t xml:space="preserve"> </w:t>
      </w:r>
      <w:r>
        <w:t xml:space="preserve">beam-position deviations. Because those endpoints test different evidence,</w:t>
      </w:r>
      <w:r>
        <w:t xml:space="preserve"> </w:t>
      </w:r>
      <w:r>
        <w:t xml:space="preserve">their four-state disagreement is scientifically expected rather than an error</w:t>
      </w:r>
      <w:r>
        <w:t xml:space="preserve"> </w:t>
      </w:r>
      <w:r>
        <w:t xml:space="preserve">to be averaged away.</w:t>
      </w:r>
    </w:p>
    <w:p>
      <w:pPr>
        <w:pStyle w:val="BodyText"/>
      </w:pPr>
      <w:r>
        <w:t xml:space="preserve">The large number of ViPErLEED-only states illustrates this point. Whole-pattern</w:t>
      </w:r>
      <w:r>
        <w:t xml:space="preserve"> </w:t>
      </w:r>
      <w:r>
        <w:t xml:space="preserve">registration can retain direct indexed evidence when a local region or fit</w:t>
      </w:r>
      <w:r>
        <w:t xml:space="preserve"> </w:t>
      </w:r>
      <w:r>
        <w:t xml:space="preserve">does not satisfy its acceptance contract. That does not establish physical</w:t>
      </w:r>
      <w:r>
        <w:t xml:space="preserve"> </w:t>
      </w:r>
      <w:r>
        <w:t xml:space="preserve">visibility outside the native definition, and it does not show that the local</w:t>
      </w:r>
      <w:r>
        <w:t xml:space="preserve"> </w:t>
      </w:r>
      <w:r>
        <w:t xml:space="preserve">tracker failed in isolation: proposal placement, image content, fitting, and</w:t>
      </w:r>
      <w:r>
        <w:t xml:space="preserve"> </w:t>
      </w:r>
      <w:r>
        <w:t xml:space="preserve">acceptance all contribute to</w:t>
      </w:r>
      <w:r>
        <w:t xml:space="preserve"> </w:t>
      </w:r>
      <w:r>
        <w:rPr>
          <w:rStyle w:val="VerbatimChar"/>
        </w:rPr>
        <w:t xml:space="preserve">G=0</w:t>
      </w:r>
      <w:r>
        <w:t xml:space="preserve">. Conversely, Gaussian-only states show that</w:t>
      </w:r>
      <w:r>
        <w:t xml:space="preserve"> </w:t>
      </w:r>
      <w:r>
        <w:t xml:space="preserve">the local image model can produce an accepted position when the native direct</w:t>
      </w:r>
      <w:r>
        <w:t xml:space="preserve"> </w:t>
      </w:r>
      <w:r>
        <w:t xml:space="preserve">criterion is not met. They do not validate the local target against an</w:t>
      </w:r>
      <w:r>
        <w:t xml:space="preserve"> </w:t>
      </w:r>
      <w:r>
        <w:t xml:space="preserve">external identity reference.</w:t>
      </w:r>
    </w:p>
    <w:p>
      <w:pPr>
        <w:pStyle w:val="BodyText"/>
      </w:pPr>
      <w:r>
        <w:t xml:space="preserve">The gap comparison reinforces the same boundary at an event scale. The local</w:t>
      </w:r>
      <w:r>
        <w:t xml:space="preserve"> </w:t>
      </w:r>
      <w:r>
        <w:t xml:space="preserve">contract produced many more bounded gaps, yet both contracts usually observed</w:t>
      </w:r>
      <w:r>
        <w:t xml:space="preserve"> </w:t>
      </w:r>
      <w:r>
        <w:t xml:space="preserve">at the comparison-component exit. A simple statement that the spot</w:t>
      </w:r>
      <w:r>
        <w:t xml:space="preserve"> </w:t>
      </w:r>
      <w:r>
        <w:t xml:space="preserve">“disappeared and recovered”</w:t>
      </w:r>
      <w:r>
        <w:t xml:space="preserve"> </w:t>
      </w:r>
      <w:r>
        <w:t xml:space="preserve">would conflate operational rejection, direct</w:t>
      </w:r>
      <w:r>
        <w:t xml:space="preserve"> </w:t>
      </w:r>
      <w:r>
        <w:t xml:space="preserve">native detectability, and physical beam intensity. The terms Gaussian-contract</w:t>
      </w:r>
      <w:r>
        <w:t xml:space="preserve"> </w:t>
      </w:r>
      <w:r>
        <w:t xml:space="preserve">gap and ViPEr-native visibility gap preserve which evidence was absent and how</w:t>
      </w:r>
      <w:r>
        <w:t xml:space="preserve"> </w:t>
      </w:r>
      <w:r>
        <w:t xml:space="preserve">the run was bounded. Joint observation at exit records a useful measurement</w:t>
      </w:r>
      <w:r>
        <w:t xml:space="preserve"> </w:t>
      </w:r>
      <w:r>
        <w:t xml:space="preserve">fact without claiming recovery of ground-truth physical identity.</w:t>
      </w:r>
    </w:p>
    <w:bookmarkEnd w:id="40"/>
    <w:bookmarkStart w:id="41" w:name="X83770f636fa974f6b1cf5952342a36654573805"/>
    <w:p>
      <w:pPr>
        <w:pStyle w:val="Heading2"/>
      </w:pPr>
      <w:r>
        <w:t xml:space="preserve">4.2 Native evidence changes the interpretation of continuity</w:t>
      </w:r>
    </w:p>
    <w:p>
      <w:pPr>
        <w:pStyle w:val="FirstParagraph"/>
      </w:pPr>
      <w:r>
        <w:t xml:space="preserve">The continuation analysis shows why a returned coordinate cannot be treated as</w:t>
      </w:r>
      <w:r>
        <w:t xml:space="preserve"> </w:t>
      </w:r>
      <w:r>
        <w:t xml:space="preserve">success by default. All 124 events had an accepted Gaussian-refined position,</w:t>
      </w:r>
      <w:r>
        <w:t xml:space="preserve"> </w:t>
      </w:r>
      <w:r>
        <w:t xml:space="preserve">so a local availability-only analysis would retain them as measurements.</w:t>
      </w:r>
      <w:r>
        <w:t xml:space="preserve"> </w:t>
      </w:r>
      <w:r>
        <w:t xml:space="preserve">However, their physical interpretation differed. Most were consistent with a</w:t>
      </w:r>
      <w:r>
        <w:t xml:space="preserve"> </w:t>
      </w:r>
      <w:r>
        <w:t xml:space="preserve">direct native target despite leaving the simplified radial branch. These 83</w:t>
      </w:r>
      <w:r>
        <w:t xml:space="preserve"> </w:t>
      </w:r>
      <w:r>
        <w:t xml:space="preserve">events identify a branch-model limitation rather than direct cross-contract</w:t>
      </w:r>
      <w:r>
        <w:t xml:space="preserve"> </w:t>
      </w:r>
      <w:r>
        <w:t xml:space="preserve">target disagreement. Treating every out-of-branch position as tracking failure</w:t>
      </w:r>
      <w:r>
        <w:t xml:space="preserve"> </w:t>
      </w:r>
      <w:r>
        <w:t xml:space="preserve">would therefore overstate what the radial model can decide.</w:t>
      </w:r>
    </w:p>
    <w:p>
      <w:pPr>
        <w:pStyle w:val="BodyText"/>
      </w:pPr>
      <w:r>
        <w:t xml:space="preserve">The 16 Cross-contract target inconsistencies are a narrower warning. They</w:t>
      </w:r>
      <w:r>
        <w:t xml:space="preserve"> </w:t>
      </w:r>
      <w:r>
        <w:t xml:space="preserve">identify an accepted local continuation that differs beyond the frozen</w:t>
      </w:r>
      <w:r>
        <w:t xml:space="preserve"> </w:t>
      </w:r>
      <w:r>
        <w:t xml:space="preserve">tolerance from a direct observation of the mapped native beam. The pattern is</w:t>
      </w:r>
      <w:r>
        <w:t xml:space="preserve"> </w:t>
      </w:r>
      <w:r>
        <w:t xml:space="preserve">compatible with possible false persistence because continuity can be</w:t>
      </w:r>
      <w:r>
        <w:t xml:space="preserve"> </w:t>
      </w:r>
      <w:r>
        <w:t xml:space="preserve">maintained on a target inconsistent with the indexed native position. Yet the</w:t>
      </w:r>
      <w:r>
        <w:t xml:space="preserve"> </w:t>
      </w:r>
      <w:r>
        <w:t xml:space="preserve">native contract is not spot-identity ground truth, so the evidence cannot prove</w:t>
      </w:r>
      <w:r>
        <w:t xml:space="preserve"> </w:t>
      </w:r>
      <w:r>
        <w:t xml:space="preserve">an identity switch or assign a unique causal failure to the tracker, adapter,</w:t>
      </w:r>
      <w:r>
        <w:t xml:space="preserve"> </w:t>
      </w:r>
      <w:r>
        <w:t xml:space="preserve">local fit, native registration, or coordinate alignment. The appropriate</w:t>
      </w:r>
      <w:r>
        <w:t xml:space="preserve"> </w:t>
      </w:r>
      <w:r>
        <w:t xml:space="preserve">claim is disagreement between complete measurement contracts.</w:t>
      </w:r>
    </w:p>
    <w:p>
      <w:pPr>
        <w:pStyle w:val="BodyText"/>
      </w:pPr>
      <w:r>
        <w:t xml:space="preserve">The 25 Unresolved cross-contract outcomes are equally informative for claim</w:t>
      </w:r>
      <w:r>
        <w:t xml:space="preserve"> </w:t>
      </w:r>
      <w:r>
        <w:t xml:space="preserve">discipline. Without a direct native observation, the analysis cannot decide</w:t>
      </w:r>
      <w:r>
        <w:t xml:space="preserve"> </w:t>
      </w:r>
      <w:r>
        <w:t xml:space="preserve">whether the accepted local position agrees with the indexed target. Using a</w:t>
      </w:r>
      <w:r>
        <w:t xml:space="preserve"> </w:t>
      </w:r>
      <w:r>
        <w:t xml:space="preserve">smoothed native coordinate would replace a frozen direct-evidence rule with an</w:t>
      </w:r>
      <w:r>
        <w:t xml:space="preserve"> </w:t>
      </w:r>
      <w:r>
        <w:t xml:space="preserve">inference selected after the event. Dropping the records would make the</w:t>
      </w:r>
      <w:r>
        <w:t xml:space="preserve"> </w:t>
      </w:r>
      <w:r>
        <w:t xml:space="preserve">conditional result appear more complete than the evidence permits. Keeping an</w:t>
      </w:r>
      <w:r>
        <w:t xml:space="preserve"> </w:t>
      </w:r>
      <w:r>
        <w:t xml:space="preserve">explicit Unresolved cross-contract outcome class makes the denominator and</w:t>
      </w:r>
      <w:r>
        <w:t xml:space="preserve"> </w:t>
      </w:r>
      <w:r>
        <w:t xml:space="preserve">epistemic limit visible.</w:t>
      </w:r>
    </w:p>
    <w:bookmarkEnd w:id="41"/>
    <w:bookmarkStart w:id="42" w:name="X9226600fc8499d406d7baf84b70897f26b5afca"/>
    <w:p>
      <w:pPr>
        <w:pStyle w:val="Heading2"/>
      </w:pPr>
      <w:r>
        <w:t xml:space="preserve">4.3 EasyLEED and ViPErLEED have related but non-equivalent roles</w:t>
      </w:r>
    </w:p>
    <w:p>
      <w:pPr>
        <w:pStyle w:val="FirstParagraph"/>
      </w:pPr>
      <w:r>
        <w:t xml:space="preserve">Both EasyLEED and ViPErLEED are prior LEED-domain systems that incorporate</w:t>
      </w:r>
      <w:r>
        <w:t xml:space="preserve"> </w:t>
      </w:r>
      <w:r>
        <w:t xml:space="preserve">energy-dependent pattern behavior. Their appearance in this study does not</w:t>
      </w:r>
      <w:r>
        <w:t xml:space="preserve"> </w:t>
      </w:r>
      <w:r>
        <w:t xml:space="preserve">make them interchangeable. EasyLEED participates in the five-method local</w:t>
      </w:r>
      <w:r>
        <w:t xml:space="preserve"> </w:t>
      </w:r>
      <w:r>
        <w:t xml:space="preserve">comparison because its state estimate is used as a proposal for the common</w:t>
      </w:r>
      <w:r>
        <w:t xml:space="preserve"> </w:t>
      </w:r>
      <w:r>
        <w:t xml:space="preserve">TrackLEED Gaussian measurement. Its outcome therefore includes the shared</w:t>
      </w:r>
      <w:r>
        <w:t xml:space="preserve"> </w:t>
      </w:r>
      <w:r>
        <w:t xml:space="preserve">local fit and acceptance contract. ViPErLEED remains outside that common</w:t>
      </w:r>
      <w:r>
        <w:t xml:space="preserve"> </w:t>
      </w:r>
      <w:r>
        <w:t xml:space="preserve">estimator and supplies the indexed whole-pattern native endpoint.</w:t>
      </w:r>
    </w:p>
    <w:p>
      <w:pPr>
        <w:pStyle w:val="BodyText"/>
      </w:pPr>
      <w:r>
        <w:t xml:space="preserve">This relationship is central to the novelty boundary. The work does not</w:t>
      </w:r>
      <w:r>
        <w:t xml:space="preserve"> </w:t>
      </w:r>
      <w:r>
        <w:t xml:space="preserve">introduce LEED-specific tracking, Kalman prediction, aperture-based extraction,</w:t>
      </w:r>
      <w:r>
        <w:t xml:space="preserve"> </w:t>
      </w:r>
      <w:r>
        <w:t xml:space="preserve">whole-pattern registration, or I(V) processing. It also does not claim that</w:t>
      </w:r>
      <w:r>
        <w:t xml:space="preserve"> </w:t>
      </w:r>
      <w:r>
        <w:t xml:space="preserve">preserving native ViPErLEED outputs makes them an absolute reference. The new</w:t>
      </w:r>
      <w:r>
        <w:t xml:space="preserve"> </w:t>
      </w:r>
      <w:r>
        <w:t xml:space="preserve">contribution is the explicit cross-contract join: every predefined opportunity</w:t>
      </w:r>
      <w:r>
        <w:t xml:space="preserve"> </w:t>
      </w:r>
      <w:r>
        <w:t xml:space="preserve">is retained, operational states are compared without forcing a common</w:t>
      </w:r>
      <w:r>
        <w:t xml:space="preserve"> </w:t>
      </w:r>
      <w:r>
        <w:t xml:space="preserve">endpoint, and failure semantics are limited by the evidence each contract can</w:t>
      </w:r>
      <w:r>
        <w:t xml:space="preserve"> </w:t>
      </w:r>
      <w:r>
        <w:t xml:space="preserve">provide.</w:t>
      </w:r>
    </w:p>
    <w:p>
      <w:pPr>
        <w:pStyle w:val="BodyText"/>
      </w:pPr>
      <w:r>
        <w:t xml:space="preserve">The five local methods likewise should not be read as a comprehensive tracker</w:t>
      </w:r>
      <w:r>
        <w:t xml:space="preserve"> </w:t>
      </w:r>
      <w:r>
        <w:t xml:space="preserve">benchmark. They span useful proposal representations, but the reported counts</w:t>
      </w:r>
      <w:r>
        <w:t xml:space="preserve"> </w:t>
      </w:r>
      <w:r>
        <w:t xml:space="preserve">belong to the tested scans, adapters, frozen acceptance gates, and existing</w:t>
      </w:r>
      <w:r>
        <w:t xml:space="preserve"> </w:t>
      </w:r>
      <w:r>
        <w:t xml:space="preserve">outputs. Method-specific differences help expose denominator effects and local</w:t>
      </w:r>
      <w:r>
        <w:t xml:space="preserve"> </w:t>
      </w:r>
      <w:r>
        <w:t xml:space="preserve">capture behavior. They do not support a universal best-method claim, and the</w:t>
      </w:r>
      <w:r>
        <w:t xml:space="preserve"> </w:t>
      </w:r>
      <w:r>
        <w:t xml:space="preserve">analysis deliberately computes no composite ranking.</w:t>
      </w:r>
    </w:p>
    <w:bookmarkEnd w:id="42"/>
    <w:bookmarkStart w:id="43" w:name="X93836532f607535bded0b1f9b2d58acc7f32fc9"/>
    <w:p>
      <w:pPr>
        <w:pStyle w:val="Heading2"/>
      </w:pPr>
      <w:r>
        <w:t xml:space="preserve">4.4 Denominator discipline prevents incompatible claims</w:t>
      </w:r>
    </w:p>
    <w:p>
      <w:pPr>
        <w:pStyle w:val="FirstParagraph"/>
      </w:pPr>
      <w:r>
        <w:t xml:space="preserve">Separating denominators is more than a reporting preference. Fixed</w:t>
      </w:r>
      <w:r>
        <w:t xml:space="preserve"> </w:t>
      </w:r>
      <w:r>
        <w:t xml:space="preserve">branch-consistent coverage asks whether the local chain returned an accepted</w:t>
      </w:r>
      <w:r>
        <w:t xml:space="preserve"> </w:t>
      </w:r>
      <w:r>
        <w:t xml:space="preserve">measurement on the physical branch for each reference-visible opportunity.</w:t>
      </w:r>
      <w:r>
        <w:t xml:space="preserve"> </w:t>
      </w:r>
      <w:r>
        <w:t xml:space="preserve">The all-frame conditional fraction asks how frequently accepted local fits</w:t>
      </w:r>
      <w:r>
        <w:t xml:space="preserve"> </w:t>
      </w:r>
      <w:r>
        <w:t xml:space="preserve">were out of branch. Gap components ask whether bounded absence under one</w:t>
      </w:r>
      <w:r>
        <w:t xml:space="preserve"> </w:t>
      </w:r>
      <w:r>
        <w:t xml:space="preserve">contract overlaps bounded absence under the other. Continuation classification</w:t>
      </w:r>
      <w:r>
        <w:t xml:space="preserve"> </w:t>
      </w:r>
      <w:r>
        <w:t xml:space="preserve">asks what direct native evidence says about a selected set of accepted</w:t>
      </w:r>
      <w:r>
        <w:t xml:space="preserve"> </w:t>
      </w:r>
      <w:r>
        <w:t xml:space="preserve">out-of-branch fits. These are distinct estimands.</w:t>
      </w:r>
    </w:p>
    <w:p>
      <w:pPr>
        <w:pStyle w:val="BodyText"/>
      </w:pPr>
      <w:r>
        <w:t xml:space="preserve">Combining them would create several biases. Conditioning every analysis on</w:t>
      </w:r>
      <w:r>
        <w:t xml:space="preserve"> </w:t>
      </w:r>
      <w:r>
        <w:t xml:space="preserve">accepted fits would remove local non-measurability from view. Using 324 as the</w:t>
      </w:r>
      <w:r>
        <w:t xml:space="preserve"> </w:t>
      </w:r>
      <w:r>
        <w:t xml:space="preserve">denominator for the out-of-branch interpretation would mix accepted and</w:t>
      </w:r>
      <w:r>
        <w:t xml:space="preserve"> </w:t>
      </w:r>
      <w:r>
        <w:t xml:space="preserve">unaccepted local states. Using 221 for all-frame continuation would exclude</w:t>
      </w:r>
      <w:r>
        <w:t xml:space="preserve"> </w:t>
      </w:r>
      <w:r>
        <w:t xml:space="preserve">events outside the reference-visible baseline. Pooling five method rows would</w:t>
      </w:r>
      <w:r>
        <w:t xml:space="preserve"> </w:t>
      </w:r>
      <w:r>
        <w:t xml:space="preserve">repeat the same native opportunity and inflate apparent sample size. Treating</w:t>
      </w:r>
      <w:r>
        <w:t xml:space="preserve"> </w:t>
      </w:r>
      <w:r>
        <w:t xml:space="preserve">121 nested components as independent experiments would ignore their shared</w:t>
      </w:r>
      <w:r>
        <w:t xml:space="preserve"> </w:t>
      </w:r>
      <w:r>
        <w:t xml:space="preserve">scans and branches. The frozen reporting rules prevent each substitution.</w:t>
      </w:r>
    </w:p>
    <w:bookmarkEnd w:id="43"/>
    <w:bookmarkStart w:id="44" w:name="limitations-and-scope"/>
    <w:p>
      <w:pPr>
        <w:pStyle w:val="Heading2"/>
      </w:pPr>
      <w:r>
        <w:t xml:space="preserve">4.5 Limitations and scope</w:t>
      </w:r>
    </w:p>
    <w:p>
      <w:pPr>
        <w:pStyle w:val="FirstParagraph"/>
      </w:pPr>
      <w:r>
        <w:t xml:space="preserve">The study has no instrument-traceable absolute position reference and no</w:t>
      </w:r>
      <w:r>
        <w:t xml:space="preserve"> </w:t>
      </w:r>
      <w:r>
        <w:t xml:space="preserve">framewise spot-identity ground truth. Cross-contract agreement can support</w:t>
      </w:r>
      <w:r>
        <w:t xml:space="preserve"> </w:t>
      </w:r>
      <w:r>
        <w:t xml:space="preserve">consistency between operational pathways, and branch geometry can support</w:t>
      </w:r>
      <w:r>
        <w:t xml:space="preserve"> </w:t>
      </w:r>
      <w:r>
        <w:t xml:space="preserve">physical self-consistency, but neither establishes absolute accuracy. A direct</w:t>
      </w:r>
      <w:r>
        <w:t xml:space="preserve"> </w:t>
      </w:r>
      <w:r>
        <w:t xml:space="preserve">native beam observation is independent of the local Gaussian endpoint in its</w:t>
      </w:r>
      <w:r>
        <w:t xml:space="preserve"> </w:t>
      </w:r>
      <w:r>
        <w:t xml:space="preserve">measurement construction, not infallible in physical identity.</w:t>
      </w:r>
    </w:p>
    <w:p>
      <w:pPr>
        <w:pStyle w:val="BodyText"/>
      </w:pPr>
      <w:r>
        <w:t xml:space="preserve">The evidence is acquisition closed. It covers two existing principal energy</w:t>
      </w:r>
      <w:r>
        <w:t xml:space="preserve"> </w:t>
      </w:r>
      <w:r>
        <w:t xml:space="preserve">scans and four preregistered branches under one frozen local contract and one</w:t>
      </w:r>
      <w:r>
        <w:t xml:space="preserve"> </w:t>
      </w:r>
      <w:r>
        <w:t xml:space="preserve">frozen native contract. The native pilot calibrated settings and therefore</w:t>
      </w:r>
      <w:r>
        <w:t xml:space="preserve"> </w:t>
      </w:r>
      <w:r>
        <w:t xml:space="preserve">cannot serve as independent confirmation. The five local proposal methods do</w:t>
      </w:r>
      <w:r>
        <w:t xml:space="preserve"> </w:t>
      </w:r>
      <w:r>
        <w:t xml:space="preserve">not exhaust possible trackers, and the selected region, fit gates, native</w:t>
      </w:r>
      <w:r>
        <w:t xml:space="preserve"> </w:t>
      </w:r>
      <w:r>
        <w:t xml:space="preserve">threshold, coordinate alignment, and radial baseline bound the results.</w:t>
      </w:r>
      <w:r>
        <w:t xml:space="preserve"> </w:t>
      </w:r>
      <w:r>
        <w:t xml:space="preserve">Different validated contracts could redistribute operational outcomes.</w:t>
      </w:r>
    </w:p>
    <w:p>
      <w:pPr>
        <w:pStyle w:val="BodyText"/>
      </w:pPr>
      <w:r>
        <w:t xml:space="preserve">The sensitivity analysis is deliberately narrow. It establishes that the</w:t>
      </w:r>
      <w:r>
        <w:t xml:space="preserve"> </w:t>
      </w:r>
      <w:r>
        <w:t xml:space="preserve">observability counts were stable across the predeclared threshold grid and</w:t>
      </w:r>
      <w:r>
        <w:t xml:space="preserve"> </w:t>
      </w:r>
      <w:r>
        <w:t xml:space="preserve">shows that direct-event interpretation changes with positional tolerance. It</w:t>
      </w:r>
      <w:r>
        <w:t xml:space="preserve"> </w:t>
      </w:r>
      <w:r>
        <w:t xml:space="preserve">does not optimize parameters, map every capture regime, or validate a method</w:t>
      </w:r>
      <w:r>
        <w:t xml:space="preserve"> </w:t>
      </w:r>
      <w:r>
        <w:t xml:space="preserve">ranking. In particular, the nominal count of Cross-contract target</w:t>
      </w:r>
      <w:r>
        <w:t xml:space="preserve"> </w:t>
      </w:r>
      <w:r>
        <w:t xml:space="preserve">inconsistencies should be read together with the sensitivity envelopes and the</w:t>
      </w:r>
      <w:r>
        <w:t xml:space="preserve"> </w:t>
      </w:r>
      <w:r>
        <w:t xml:space="preserve">non-ground-truth limitation.</w:t>
      </w:r>
    </w:p>
    <w:p>
      <w:pPr>
        <w:pStyle w:val="BodyText"/>
      </w:pPr>
      <w:r>
        <w:t xml:space="preserve">Complete experimental reporting and bibliography verification remain explicit</w:t>
      </w:r>
      <w:r>
        <w:t xml:space="preserve"> </w:t>
      </w:r>
      <w:r>
        <w:t xml:space="preserve">Authorized deferred publication inputs. Their absence prevents the draft from</w:t>
      </w:r>
      <w:r>
        <w:t xml:space="preserve"> </w:t>
      </w:r>
      <w:r>
        <w:t xml:space="preserve">being</w:t>
      </w:r>
      <w:r>
        <w:t xml:space="preserve"> </w:t>
      </w:r>
      <w:r>
        <w:rPr>
          <w:rStyle w:val="VerbatimChar"/>
        </w:rPr>
        <w:t xml:space="preserve">submission-ready</w:t>
      </w:r>
      <w:r>
        <w:t xml:space="preserve">, but</w:t>
      </w:r>
      <w:r>
        <w:t xml:space="preserve"> </w:t>
      </w:r>
      <w:r>
        <w:t xml:space="preserve">does not license inferred instrument or sample details. The scientific draft</w:t>
      </w:r>
      <w:r>
        <w:t xml:space="preserve"> </w:t>
      </w:r>
      <w:r>
        <w:t xml:space="preserve">is complete only within the frozen cross-contract question, evidence packages,</w:t>
      </w:r>
      <w:r>
        <w:t xml:space="preserve"> </w:t>
      </w:r>
      <w:r>
        <w:t xml:space="preserve">and claim boundary. A later integration step must preserve these constraints</w:t>
      </w:r>
      <w:r>
        <w:t xml:space="preserve"> </w:t>
      </w:r>
      <w:r>
        <w:t xml:space="preserve">when producing journal-formatted editable and rendered documents.</w:t>
      </w:r>
    </w:p>
    <w:bookmarkEnd w:id="44"/>
    <w:bookmarkStart w:id="45" w:name="Xb241af5c440b6daea673e5bc5ad1970c035f905"/>
    <w:p>
      <w:pPr>
        <w:pStyle w:val="Heading2"/>
      </w:pPr>
      <w:r>
        <w:t xml:space="preserve">4.6 Implications for measurement-chain evaluation</w:t>
      </w:r>
    </w:p>
    <w:p>
      <w:pPr>
        <w:pStyle w:val="FirstParagraph"/>
      </w:pPr>
      <w:r>
        <w:t xml:space="preserve">The framework suggests a general order for evaluating quantitative tracking</w:t>
      </w:r>
      <w:r>
        <w:t xml:space="preserve"> </w:t>
      </w:r>
      <w:r>
        <w:t xml:space="preserve">chains. First define the endpoint produced by each measurement contract.</w:t>
      </w:r>
      <w:r>
        <w:t xml:space="preserve"> </w:t>
      </w:r>
      <w:r>
        <w:t xml:space="preserve">Second retain a fixed opportunity inventory before examining successful</w:t>
      </w:r>
      <w:r>
        <w:t xml:space="preserve"> </w:t>
      </w:r>
      <w:r>
        <w:t xml:space="preserve">outputs. Third separate operational availability from physical-consistency</w:t>
      </w:r>
      <w:r>
        <w:t xml:space="preserve"> </w:t>
      </w:r>
      <w:r>
        <w:t xml:space="preserve">checks. Fourth give each conditional statistic its actual surviving</w:t>
      </w:r>
      <w:r>
        <w:t xml:space="preserve"> </w:t>
      </w:r>
      <w:r>
        <w:t xml:space="preserve">denominator. Finally, preserve an Unresolved cross-contract outcome category</w:t>
      </w:r>
      <w:r>
        <w:t xml:space="preserve"> </w:t>
      </w:r>
      <w:r>
        <w:t xml:space="preserve">wherever the comparison contract lacks direct evidence. These steps make it possible to compare</w:t>
      </w:r>
      <w:r>
        <w:t xml:space="preserve"> </w:t>
      </w:r>
      <w:r>
        <w:t xml:space="preserve">heterogeneous pathways without pretending that their native outputs or errors</w:t>
      </w:r>
      <w:r>
        <w:t xml:space="preserve"> </w:t>
      </w:r>
      <w:r>
        <w:t xml:space="preserve">are commensurate.</w:t>
      </w:r>
    </w:p>
    <w:bookmarkEnd w:id="45"/>
    <w:bookmarkEnd w:id="46"/>
    <w:bookmarkStart w:id="47" w:name="conclusions"/>
    <w:p>
      <w:pPr>
        <w:pStyle w:val="Heading1"/>
      </w:pPr>
      <w:r>
        <w:t xml:space="preserve">5. Conclusions</w:t>
      </w:r>
    </w:p>
    <w:p>
      <w:pPr>
        <w:pStyle w:val="FirstParagraph"/>
      </w:pPr>
      <w:r>
        <w:t xml:space="preserve">Across the two principal energy scans, LEED spot observability and gap</w:t>
      </w:r>
      <w:r>
        <w:t xml:space="preserve"> </w:t>
      </w:r>
      <w:r>
        <w:t xml:space="preserve">attribution were not stable across a local Gaussian measurement contract and</w:t>
      </w:r>
      <w:r>
        <w:t xml:space="preserve"> </w:t>
      </w:r>
      <w:r>
        <w:t xml:space="preserve">an external native whole-pattern ViPErLEED contract. Of 121 bounded gap</w:t>
      </w:r>
      <w:r>
        <w:t xml:space="preserve"> </w:t>
      </w:r>
      <w:r>
        <w:t xml:space="preserve">comparison components, 111 contained only Gaussian-contract gaps. These</w:t>
      </w:r>
      <w:r>
        <w:t xml:space="preserve"> </w:t>
      </w:r>
      <w:r>
        <w:t xml:space="preserve">patterns are operational differences between complete pathways, not evidence</w:t>
      </w:r>
      <w:r>
        <w:t xml:space="preserve"> </w:t>
      </w:r>
      <w:r>
        <w:t xml:space="preserve">that either path reveals physical visibility or spot identity as ground truth.</w:t>
      </w:r>
    </w:p>
    <w:p>
      <w:pPr>
        <w:pStyle w:val="BodyText"/>
      </w:pPr>
      <w:r>
        <w:t xml:space="preserve">Continuity also did not determine consistency. The 124 accepted Gaussian</w:t>
      </w:r>
      <w:r>
        <w:t xml:space="preserve"> </w:t>
      </w:r>
      <w:r>
        <w:t xml:space="preserve">out-of-branch events separated into 83 branch-model disagreements, 16</w:t>
      </w:r>
      <w:r>
        <w:t xml:space="preserve"> </w:t>
      </w:r>
      <w:r>
        <w:t xml:space="preserve">Cross-contract target inconsistencies, and 25 Unresolved cross-contract</w:t>
      </w:r>
      <w:r>
        <w:t xml:space="preserve"> </w:t>
      </w:r>
      <w:r>
        <w:t xml:space="preserve">outcomes. The categories remained denominator bound: fixed branch-consistent</w:t>
      </w:r>
      <w:r>
        <w:t xml:space="preserve"> </w:t>
      </w:r>
      <w:r>
        <w:t xml:space="preserve">coverage used 221 reference opportunities per method, conditional</w:t>
      </w:r>
      <w:r>
        <w:t xml:space="preserve"> </w:t>
      </w:r>
      <w:r>
        <w:t xml:space="preserve">out-of-branch fractions used 206-272 accepted fits, and interpretation used</w:t>
      </w:r>
      <w:r>
        <w:t xml:space="preserve"> </w:t>
      </w:r>
      <w:r>
        <w:t xml:space="preserve">only the accepted out-of-branch events. Limited sensitivity preserved the</w:t>
      </w:r>
      <w:r>
        <w:t xml:space="preserve"> </w:t>
      </w:r>
      <w:r>
        <w:t xml:space="preserve">observability result while showing that the split between direct-event</w:t>
      </w:r>
      <w:r>
        <w:t xml:space="preserve"> </w:t>
      </w:r>
      <w:r>
        <w:t xml:space="preserve">interpretations depends on positional tolerance.</w:t>
      </w:r>
    </w:p>
    <w:p>
      <w:pPr>
        <w:pStyle w:val="BodyText"/>
      </w:pPr>
      <w:r>
        <w:t xml:space="preserve">The resulting contribution is a cross-contract, denominator-aware assessment</w:t>
      </w:r>
      <w:r>
        <w:t xml:space="preserve"> </w:t>
      </w:r>
      <w:r>
        <w:t xml:space="preserve">of failure semantics in LEED spot-tracking measurement chains. It preserves</w:t>
      </w:r>
      <w:r>
        <w:t xml:space="preserve"> </w:t>
      </w:r>
      <w:r>
        <w:t xml:space="preserve">the established roles of EasyLEED and ViPErLEED, avoids a universal tracker</w:t>
      </w:r>
      <w:r>
        <w:t xml:space="preserve"> </w:t>
      </w:r>
      <w:r>
        <w:t xml:space="preserve">ranking, and keeps cases without direct evidence unresolved. Measurement-chain</w:t>
      </w:r>
      <w:r>
        <w:t xml:space="preserve"> </w:t>
      </w:r>
      <w:r>
        <w:t xml:space="preserve">robustness in this setting therefore requires explicit assessment of both</w:t>
      </w:r>
      <w:r>
        <w:t xml:space="preserve"> </w:t>
      </w:r>
      <w:r>
        <w:t xml:space="preserve">continuity and physical consistency under named operational contracts.</w:t>
      </w:r>
    </w:p>
    <w:bookmarkEnd w:id="47"/>
    <w:bookmarkStart w:id="62" w:name="references"/>
    <w:p>
      <w:pPr>
        <w:pStyle w:val="Heading1"/>
      </w:pPr>
      <w:r>
        <w:t xml:space="preserve">References</w:t>
      </w:r>
    </w:p>
    <w:bookmarkStart w:id="61" w:name="refs"/>
    <w:bookmarkStart w:id="49" w:name="ref-cho2024locotrack"/>
    <w:p>
      <w:pPr>
        <w:pStyle w:val="Bibliography"/>
      </w:pPr>
      <w:r>
        <w:t xml:space="preserve">Cho, Seokju, Jiahui Huang, Jisu Nam, Honggyu An, Seungryong Kim, and Joon-Young Lee. 2024.</w:t>
      </w:r>
      <w:r>
        <w:t xml:space="preserve"> </w:t>
      </w:r>
      <w:r>
        <w:t xml:space="preserve">“Local All-Pair Correspondence for Point Tracking.”</w:t>
      </w:r>
      <w:r>
        <w:t xml:space="preserve"> </w:t>
      </w:r>
      <w:r>
        <w:rPr>
          <w:i/>
          <w:iCs/>
        </w:rPr>
        <w:t xml:space="preserve">Computer Vision – ECCV 2024</w:t>
      </w:r>
      <w:r>
        <w:t xml:space="preserve"> </w:t>
      </w:r>
      <w:r>
        <w:t xml:space="preserve">15068: 306–25.</w:t>
      </w:r>
      <w:r>
        <w:t xml:space="preserve"> </w:t>
      </w:r>
      <w:hyperlink r:id="rId48">
        <w:r>
          <w:rPr>
            <w:rStyle w:val="Hyperlink"/>
          </w:rPr>
          <w:t xml:space="preserve">https://doi.org/10.1007/978-3-031-72684-2_18</w:t>
        </w:r>
      </w:hyperlink>
      <w:r>
        <w:t xml:space="preserve">.</w:t>
      </w:r>
    </w:p>
    <w:bookmarkEnd w:id="49"/>
    <w:bookmarkStart w:id="51" w:name="ref-lucas1981iterative"/>
    <w:p>
      <w:pPr>
        <w:pStyle w:val="Bibliography"/>
      </w:pPr>
      <w:r>
        <w:t xml:space="preserve">Lucas, Bruce D., and Takeo Kanade. 1981.</w:t>
      </w:r>
      <w:r>
        <w:t xml:space="preserve"> </w:t>
      </w:r>
      <w:r>
        <w:t xml:space="preserve">“An Iterative Image Registration Technique with an Application to Stereo Vision.”</w:t>
      </w:r>
      <w:r>
        <w:t xml:space="preserve"> </w:t>
      </w:r>
      <w:r>
        <w:rPr>
          <w:i/>
          <w:iCs/>
        </w:rPr>
        <w:t xml:space="preserve">Proceedings of the 7th International Joint Conference on Artificial Intelligence</w:t>
      </w:r>
      <w:r>
        <w:t xml:space="preserve"> </w:t>
      </w:r>
      <w:r>
        <w:t xml:space="preserve">2: 674–79.</w:t>
      </w:r>
      <w:r>
        <w:t xml:space="preserve"> </w:t>
      </w:r>
      <w:hyperlink r:id="rId50">
        <w:r>
          <w:rPr>
            <w:rStyle w:val="Hyperlink"/>
          </w:rPr>
          <w:t xml:space="preserve">https://publications.ri.cmu.edu/an-iterative-image-registration-technique-with-an-application-to-stereo-vision-ijcai</w:t>
        </w:r>
      </w:hyperlink>
      <w:r>
        <w:t xml:space="preserve">.</w:t>
      </w:r>
    </w:p>
    <w:bookmarkEnd w:id="51"/>
    <w:bookmarkStart w:id="53" w:name="ref-mayer2012easyleed"/>
    <w:p>
      <w:pPr>
        <w:pStyle w:val="Bibliography"/>
      </w:pPr>
      <w:r>
        <w:t xml:space="preserve">Mayer, Andreas, Hanna Salopaasi, Katariina Pussi, and Renee D. Diehl. 2012.</w:t>
      </w:r>
      <w:r>
        <w:t xml:space="preserve"> </w:t>
      </w:r>
      <w:r>
        <w:t xml:space="preserve">“A Novel Method for the Extraction of Intensity–Energy Spectra from Low-Energy Electron Diffraction Patterns.”</w:t>
      </w:r>
      <w:r>
        <w:t xml:space="preserve"> </w:t>
      </w:r>
      <w:r>
        <w:rPr>
          <w:i/>
          <w:iCs/>
        </w:rPr>
        <w:t xml:space="preserve">Computer Physics Communications</w:t>
      </w:r>
      <w:r>
        <w:t xml:space="preserve"> </w:t>
      </w:r>
      <w:r>
        <w:t xml:space="preserve">183 (7): 1443–47.</w:t>
      </w:r>
      <w:r>
        <w:t xml:space="preserve"> </w:t>
      </w:r>
      <w:hyperlink r:id="rId52">
        <w:r>
          <w:rPr>
            <w:rStyle w:val="Hyperlink"/>
          </w:rPr>
          <w:t xml:space="preserve">https://doi.org/10.1016/j.cpc.2012.02.019</w:t>
        </w:r>
      </w:hyperlink>
      <w:r>
        <w:t xml:space="preserve">.</w:t>
      </w:r>
    </w:p>
    <w:bookmarkEnd w:id="53"/>
    <w:bookmarkStart w:id="54" w:name="ref-pendry1974leed"/>
    <w:p>
      <w:pPr>
        <w:pStyle w:val="Bibliography"/>
      </w:pPr>
      <w:r>
        <w:t xml:space="preserve">Pendry, John B. 1974.</w:t>
      </w:r>
      <w:r>
        <w:t xml:space="preserve"> </w:t>
      </w:r>
      <w:r>
        <w:rPr>
          <w:i/>
          <w:iCs/>
        </w:rPr>
        <w:t xml:space="preserve">Low Energy Electron Diffraction: The Theory and Its Application to Determination of Surface Structure</w:t>
      </w:r>
      <w:r>
        <w:t xml:space="preserve">. Academic Press.</w:t>
      </w:r>
    </w:p>
    <w:bookmarkEnd w:id="54"/>
    <w:bookmarkStart w:id="56" w:name="ref-schmid2025viperleed"/>
    <w:p>
      <w:pPr>
        <w:pStyle w:val="Bibliography"/>
      </w:pPr>
      <w:r>
        <w:t xml:space="preserve">Schmid, Michael, Florian Kraushofer, Alexander M. Imre, et al. 2025.</w:t>
      </w:r>
      <w:r>
        <w:t xml:space="preserve"> </w:t>
      </w:r>
      <w:r>
        <w:t xml:space="preserve">“</w:t>
      </w:r>
      <w:r>
        <w:t xml:space="preserve">ViPErLEED</w:t>
      </w:r>
      <w:r>
        <w:t xml:space="preserve"> </w:t>
      </w:r>
      <w:r>
        <w:t xml:space="preserve">Package</w:t>
      </w:r>
      <w:r>
        <w:t xml:space="preserve"> </w:t>
      </w:r>
      <w:r>
        <w:t xml:space="preserve">II</w:t>
      </w:r>
      <w:r>
        <w:t xml:space="preserve">: Spot Tracking, Extraction, and Processing of</w:t>
      </w:r>
      <w:r>
        <w:t xml:space="preserve"> </w:t>
      </w:r>
      <w:r>
        <w:t xml:space="preserve">I(V)</w:t>
      </w:r>
      <w:r>
        <w:t xml:space="preserve"> </w:t>
      </w:r>
      <w:r>
        <w:t xml:space="preserve">Curves.”</w:t>
      </w:r>
      <w:r>
        <w:t xml:space="preserve"> </w:t>
      </w:r>
      <w:r>
        <w:rPr>
          <w:i/>
          <w:iCs/>
        </w:rPr>
        <w:t xml:space="preserve">Physical Review Research</w:t>
      </w:r>
      <w:r>
        <w:t xml:space="preserve"> </w:t>
      </w:r>
      <w:r>
        <w:t xml:space="preserve">7 (1): 013006.</w:t>
      </w:r>
      <w:r>
        <w:t xml:space="preserve"> </w:t>
      </w:r>
      <w:hyperlink r:id="rId55">
        <w:r>
          <w:rPr>
            <w:rStyle w:val="Hyperlink"/>
          </w:rPr>
          <w:t xml:space="preserve">https://doi.org/10.1103/PhysRevResearch.7.013006</w:t>
        </w:r>
      </w:hyperlink>
      <w:r>
        <w:t xml:space="preserve">.</w:t>
      </w:r>
    </w:p>
    <w:bookmarkEnd w:id="56"/>
    <w:bookmarkStart w:id="58" w:name="ref-videnovic2025dam4sam"/>
    <w:p>
      <w:pPr>
        <w:pStyle w:val="Bibliography"/>
      </w:pPr>
      <w:r>
        <w:t xml:space="preserve">Videnovic, Jovana, Alan Lukezic, and Matej Kristan. 2025.</w:t>
      </w:r>
      <w:r>
        <w:t xml:space="preserve"> </w:t>
      </w:r>
      <w:r>
        <w:t xml:space="preserve">“A Distractor-Aware Memory for Visual Object Tracking with</w:t>
      </w:r>
      <w:r>
        <w:t xml:space="preserve"> </w:t>
      </w:r>
      <w:r>
        <w:t xml:space="preserve">SAM2</w:t>
      </w:r>
      <w:r>
        <w:t xml:space="preserve">.”</w:t>
      </w:r>
      <w:r>
        <w:t xml:space="preserve"> </w:t>
      </w:r>
      <w:r>
        <w:rPr>
          <w:i/>
          <w:iCs/>
        </w:rPr>
        <w:t xml:space="preserve">Proceedings of the IEEE/CVF Conference on Computer Vision and Pattern Recognition</w:t>
      </w:r>
      <w:r>
        <w:t xml:space="preserve">, 24255–64.</w:t>
      </w:r>
      <w:r>
        <w:t xml:space="preserve"> </w:t>
      </w:r>
      <w:hyperlink r:id="rId57">
        <w:r>
          <w:rPr>
            <w:rStyle w:val="Hyperlink"/>
          </w:rPr>
          <w:t xml:space="preserve">https://openaccess.thecvf.com/content/CVPR2025/html/Videnovic_A_Distractor-Aware_Memory_for_Visual_Object_Tracking_with_SAM2_CVPR_2025_paper.html</w:t>
        </w:r>
      </w:hyperlink>
      <w:r>
        <w:t xml:space="preserve">.</w:t>
      </w:r>
    </w:p>
    <w:bookmarkEnd w:id="58"/>
    <w:bookmarkStart w:id="60" w:name="ref-ye2022ostrack"/>
    <w:p>
      <w:pPr>
        <w:pStyle w:val="Bibliography"/>
      </w:pPr>
      <w:r>
        <w:t xml:space="preserve">Ye, Botao, Hong Chang, Bingpeng Ma, Shiguang Shan, and Xilin Chen. 2022.</w:t>
      </w:r>
      <w:r>
        <w:t xml:space="preserve"> </w:t>
      </w:r>
      <w:r>
        <w:t xml:space="preserve">“Joint Feature Learning and Relation Modeling for Tracking: A One-Stream Framework.”</w:t>
      </w:r>
      <w:r>
        <w:t xml:space="preserve"> </w:t>
      </w:r>
      <w:r>
        <w:rPr>
          <w:i/>
          <w:iCs/>
        </w:rPr>
        <w:t xml:space="preserve">Computer Vision – ECCV 2022</w:t>
      </w:r>
      <w:r>
        <w:t xml:space="preserve">, 341–57.</w:t>
      </w:r>
      <w:r>
        <w:t xml:space="preserve"> </w:t>
      </w:r>
      <w:hyperlink r:id="rId59">
        <w:r>
          <w:rPr>
            <w:rStyle w:val="Hyperlink"/>
          </w:rPr>
          <w:t xml:space="preserve">https://doi.org/10.1007/978-3-031-20047-2_20</w:t>
        </w:r>
      </w:hyperlink>
      <w:r>
        <w:t xml:space="preserve">.</w:t>
      </w:r>
    </w:p>
    <w:bookmarkEnd w:id="60"/>
    <w:bookmarkEnd w:id="61"/>
    <w:p>
      <w:pPr>
        <w:pStyle w:val="BodyText"/>
      </w:pPr>
      <w:r>
        <w:t xml:space="preserve">The provisional citation keys in this draft resolve to the repository’s</w:t>
      </w:r>
      <w:r>
        <w:t xml:space="preserve"> </w:t>
      </w:r>
      <w:r>
        <w:t xml:space="preserve">existing bibliography and identify established LEED, tracking, and</w:t>
      </w:r>
      <w:r>
        <w:t xml:space="preserve"> </w:t>
      </w:r>
      <w:r>
        <w:t xml:space="preserve">whole-pattern sources. They are not represented as a submission-complete</w:t>
      </w:r>
      <w:r>
        <w:t xml:space="preserve"> </w:t>
      </w:r>
      <w:r>
        <w:t xml:space="preserve">reference list.</w:t>
      </w:r>
    </w:p>
    <w:p>
      <w:pPr>
        <w:pStyle w:val="BodyText"/>
      </w:pPr>
      <w:r>
        <w:t xml:space="preserve">TODO[SUBMISSION] Complete and verify the bibliography from primary sources before submission.</w:t>
      </w:r>
    </w:p>
    <w:bookmarkEnd w:id="62"/>
    <w:sectPr>
      <w:footnotePr>
        <w:numRestart w:val="eachSect"/>
      </w:footnotePr>
      <w:pgSz w:w="11907" w:h="16840"/>
      <w:pgMar w:top="907" w:right="907" w:bottom="907" w:left="907" w:header="454" w:footer="454" w:gutter="0"/>
      <w:cols w:num="2" w:space="113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updateFields w:val="true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 w:ascii="Times New Roman" w:hAnsi="Times New Roman" w:eastAsia="Times New Roman" w:cs="Times New Roman"/>
        <w:sz w:val="18"/>
        <w:szCs w:val="18"/>
        <w:lang w:bidi="ar-SA" w:eastAsia="zh-CN" w:val="en-US"/>
        <w:color w:val="000000"/>
      </w:rPr>
    </w:rPrDefault>
    <w:pPrDefault>
      <w:pPr>
        <w:spacing w:after="60" w:before="0" w:line="240" w:lineRule="auto"/>
        <w:jc w:val="both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Times New Roman" w:cs="Times New Roman"/>
      <w:sz w:val="18"/>
      <w:szCs w:val="18"/>
      <w:color w:val="000000"/>
    </w:rPr>
    <w:pPr>
      <w:spacing w:before="0" w:after="60" w:line="240" w:lineRule="auto"/>
      <w:jc w:val="both"/>
    </w:pPr>
  </w:style>
  <w:style w:styleId="BodyText" w:type="paragraph">
    <w:name w:val="Body Text"/>
    <w:basedOn w:val="Normal"/>
    <w:link w:val="BodyTextChar"/>
    <w:qFormat/>
    <w:pPr>
      <w:spacing w:after="60" w:before="0" w:line="240" w:lineRule="auto"/>
      <w:jc w:val="both"/>
    </w:pPr>
    <w:rPr>
      <w:rFonts w:ascii="Times New Roman" w:hAnsi="Times New Roman" w:eastAsia="Times New Roman" w:cs="Times New Roman"/>
      <w:sz w:val="18"/>
      <w:szCs w:val="18"/>
      <w:color w:val="000000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eastAsia="Times New Roman" w:cs="Times New Roman"/>
      <w:sz w:val="18"/>
      <w:szCs w:val="18"/>
      <w:color w:val="000000"/>
    </w:rPr>
    <w:pPr>
      <w:spacing w:before="0" w:after="60" w:line="240" w:lineRule="auto"/>
      <w:jc w:val="both"/>
    </w:pPr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120" w:line="240" w:lineRule="auto" w:before="0"/>
      <w:contextualSpacing/>
      <w:jc w:val="center"/>
    </w:pPr>
    <w:rPr>
      <w:rFonts w:asciiTheme="majorHAnsi" w:cstheme="majorBidi" w:eastAsiaTheme="majorEastAsia" w:hAnsiTheme="majorHAnsi" w:ascii="Arial" w:hAnsi="Arial" w:eastAsia="Arial" w:cs="Arial"/>
      <w:sz w:val="36"/>
      <w:szCs w:val="36"/>
      <w:color w:val="000000"/>
      <w:b w:val="1"/>
      <w:bCs w:val="1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before="0" w:after="160" w:line="240" w:lineRule="auto"/>
      <w:jc w:val="center"/>
    </w:pPr>
    <w:rPr>
      <w:rFonts w:cstheme="majorBidi" w:eastAsiaTheme="majorEastAsia" w:ascii="Arial" w:hAnsi="Arial" w:eastAsia="Arial" w:cs="Arial"/>
      <w:spacing w:val="15"/>
      <w:sz w:val="18"/>
      <w:szCs w:val="18"/>
      <w:color w:val="000000"/>
      <w:i w:val="1"/>
      <w:iCs w:val="1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>
      <w:spacing w:before="0" w:after="20" w:line="240" w:lineRule="auto"/>
      <w:jc w:val="left"/>
    </w:pPr>
    <w:rPr>
      <w:rFonts w:ascii="Times New Roman" w:hAnsi="Times New Roman" w:eastAsia="Times New Roman" w:cs="Times New Roman"/>
      <w:sz w:val="16"/>
      <w:szCs w:val="16"/>
      <w:color w:val="000000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 w:val="1"/>
      <w:keepLines/>
      <w:spacing w:after="80" w:before="160" w:line="240" w:lineRule="auto"/>
      <w:outlineLvl w:val="0"/>
      <w:jc w:val="left"/>
    </w:pPr>
    <w:rPr>
      <w:rFonts w:asciiTheme="majorHAnsi" w:cstheme="majorBidi" w:eastAsiaTheme="majorEastAsia" w:hAnsiTheme="majorHAnsi" w:ascii="Arial" w:hAnsi="Arial" w:eastAsia="Arial" w:cs="Arial"/>
      <w:color w:val="2E74B5"/>
      <w:sz w:val="24"/>
      <w:szCs w:val="24"/>
      <w:b w:val="1"/>
      <w:bCs w:val="1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1"/>
      <w:keepLines/>
      <w:spacing w:after="60" w:before="120" w:line="240" w:lineRule="auto"/>
      <w:outlineLvl w:val="1"/>
      <w:jc w:val="left"/>
    </w:pPr>
    <w:rPr>
      <w:rFonts w:asciiTheme="majorHAnsi" w:cstheme="majorBidi" w:eastAsiaTheme="majorEastAsia" w:hAnsiTheme="majorHAnsi" w:ascii="Arial" w:hAnsi="Arial" w:eastAsia="Arial" w:cs="Arial"/>
      <w:color w:val="2E74B5"/>
      <w:sz w:val="20"/>
      <w:szCs w:val="20"/>
      <w:b w:val="1"/>
      <w:bCs w:val="1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1"/>
      <w:keepLines/>
      <w:spacing w:after="40" w:before="100" w:line="240" w:lineRule="auto"/>
      <w:outlineLvl w:val="2"/>
      <w:jc w:val="left"/>
    </w:pPr>
    <w:rPr>
      <w:rFonts w:cstheme="majorBidi" w:eastAsiaTheme="majorEastAsia" w:ascii="Arial" w:hAnsi="Arial" w:eastAsia="Arial" w:cs="Arial"/>
      <w:color w:val="1F4D78"/>
      <w:sz w:val="18"/>
      <w:szCs w:val="18"/>
      <w:b w:val="1"/>
      <w:bCs w:val="1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00" w:before="40" w:line="240" w:lineRule="auto"/>
      <w:jc w:val="left"/>
    </w:pPr>
    <w:rPr>
      <w:rFonts w:ascii="Arial" w:hAnsi="Arial" w:eastAsia="Arial" w:cs="Arial"/>
      <w:sz w:val="16"/>
      <w:szCs w:val="16"/>
      <w:color w:val="000000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26" Target="media/rId26.png" /><Relationship Type="http://schemas.openxmlformats.org/officeDocument/2006/relationships/image" Id="rId32" Target="media/rId32.png" /><Relationship Type="http://schemas.openxmlformats.org/officeDocument/2006/relationships/hyperlink" Id="rId59" Target="https://doi.org/10.1007/978-3-031-20047-2_20" TargetMode="External" /><Relationship Type="http://schemas.openxmlformats.org/officeDocument/2006/relationships/hyperlink" Id="rId48" Target="https://doi.org/10.1007/978-3-031-72684-2_18" TargetMode="External" /><Relationship Type="http://schemas.openxmlformats.org/officeDocument/2006/relationships/hyperlink" Id="rId52" Target="https://doi.org/10.1016/j.cpc.2012.02.019" TargetMode="External" /><Relationship Type="http://schemas.openxmlformats.org/officeDocument/2006/relationships/hyperlink" Id="rId55" Target="https://doi.org/10.1103/PhysRevResearch.7.013006" TargetMode="External" /><Relationship Type="http://schemas.openxmlformats.org/officeDocument/2006/relationships/hyperlink" Id="rId57" Target="https://openaccess.thecvf.com/content/CVPR2025/html/Videnovic_A_Distractor-Aware_Memory_for_Visual_Object_Tracking_with_SAM2_CVPR_2025_paper.html" TargetMode="External" /><Relationship Type="http://schemas.openxmlformats.org/officeDocument/2006/relationships/hyperlink" Id="rId50" Target="https://publications.ri.cmu.edu/an-iterative-image-registration-technique-with-an-application-to-stereo-vision-ijcai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9" Target="https://doi.org/10.1007/978-3-031-20047-2_20" TargetMode="External" /><Relationship Type="http://schemas.openxmlformats.org/officeDocument/2006/relationships/hyperlink" Id="rId48" Target="https://doi.org/10.1007/978-3-031-72684-2_18" TargetMode="External" /><Relationship Type="http://schemas.openxmlformats.org/officeDocument/2006/relationships/hyperlink" Id="rId52" Target="https://doi.org/10.1016/j.cpc.2012.02.019" TargetMode="External" /><Relationship Type="http://schemas.openxmlformats.org/officeDocument/2006/relationships/hyperlink" Id="rId55" Target="https://doi.org/10.1103/PhysRevResearch.7.013006" TargetMode="External" /><Relationship Type="http://schemas.openxmlformats.org/officeDocument/2006/relationships/hyperlink" Id="rId57" Target="https://openaccess.thecvf.com/content/CVPR2025/html/Videnovic_A_Distractor-Aware_Memory_for_Visual_Object_Tracking_with_SAM2_CVPR_2025_paper.html" TargetMode="External" /><Relationship Type="http://schemas.openxmlformats.org/officeDocument/2006/relationships/hyperlink" Id="rId50" Target="https://publications.ri.cmu.edu/an-iterative-image-registration-technique-with-an-application-to-stereo-vision-ijcai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Continuity is not consistency: Cross-contract observability in LEED spot measurement chains</dc:title>
  <dc:creator/>
  <dc:language>en-US</dc:language>
  <cp:keywords/>
  <dcterms:created xsi:type="dcterms:W3CDTF">2026-08-08T00:00:00Z</dcterms:created>
  <dcterms:modified xsi:type="dcterms:W3CDTF">2026-08-08T00:00:00Z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manuscript/references.bib</vt:lpwstr>
  </property>
  <property fmtid="{D5CDD505-2E9C-101B-9397-08002B2CF9AE}" pid="3" name="link-citations">
    <vt:lpwstr>True</vt:lpwstr>
  </property>
  <property fmtid="{D5CDD505-2E9C-101B-9397-08002B2CF9AE}" pid="4" name="subtitle">
    <vt:lpwstr>Scientific draft - not submission-ready</vt:lpwstr>
  </property>
</Properties>
</file>