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framePr w:w="10091" w:h="1440" w:hRule="atLeast" w:hAnchor="margin" w:vAnchor="margin" w:xAlign="center" w:y="0" w:wrap="around" w:hSpace="0" w:vSpace="200"/>
      </w:pPr>
      <w:r>
        <w:t xml:space="preserve">Supplementary Information: Contract validation and bounded sensitivity</w:t>
      </w:r>
    </w:p>
    <w:p>
      <w:pPr>
        <w:pStyle w:val="Subtitle"/>
        <w:framePr w:w="10091" w:h="1440" w:hRule="atLeast" w:hAnchor="margin" w:vAnchor="margin" w:xAlign="center" w:y="0" w:wrap="around" w:hSpace="0" w:vSpace="200"/>
      </w:pPr>
      <w:r>
        <w:t xml:space="preserve">Scientific draft - not submission-ready</w:t>
      </w:r>
    </w:p>
    <w:bookmarkStart w:id="9" w:name="s1.-scope-and-evidence-boundary"/>
    <w:p>
      <w:pPr>
        <w:pStyle w:val="Heading1"/>
      </w:pPr>
      <w:r>
        <w:t xml:space="preserve">S1. Scope and evidence boundary</w:t>
      </w:r>
    </w:p>
    <w:p>
      <w:pPr>
        <w:pStyle w:val="FirstParagraph"/>
      </w:pPr>
      <w:r>
        <w:t xml:space="preserve">This Supplementary Information supports the focused cross-contract manuscript</w:t>
      </w:r>
      <w:r>
        <w:t xml:space="preserve"> </w:t>
      </w:r>
      <w:r>
        <w:t xml:space="preserve">by exposing the validation steps that are necessary to interpret its principal</w:t>
      </w:r>
      <w:r>
        <w:t xml:space="preserve"> </w:t>
      </w:r>
      <w:r>
        <w:t xml:space="preserve">claims. It does not create a second results narrative. The main manuscript</w:t>
      </w:r>
      <w:r>
        <w:t xml:space="preserve"> </w:t>
      </w:r>
      <w:r>
        <w:t xml:space="preserve">already reports the fixed opportunity counts, the four joint observability</w:t>
      </w:r>
      <w:r>
        <w:t xml:space="preserve"> </w:t>
      </w:r>
      <w:r>
        <w:t xml:space="preserve">states, the contract-specific gaps, and the three interpretations of accepted</w:t>
      </w:r>
      <w:r>
        <w:t xml:space="preserve"> </w:t>
      </w:r>
      <w:r>
        <w:t xml:space="preserve">out-of-branch continuation. Repeating those complete results here would add</w:t>
      </w:r>
      <w:r>
        <w:t xml:space="preserve"> </w:t>
      </w:r>
      <w:r>
        <w:t xml:space="preserve">length without adding verification. The narrower purpose is to document how</w:t>
      </w:r>
      <w:r>
        <w:t xml:space="preserve"> </w:t>
      </w:r>
      <w:r>
        <w:t xml:space="preserve">the native whole-pattern endpoint was frozen, how the restricted pilot was</w:t>
      </w:r>
      <w:r>
        <w:t xml:space="preserve"> </w:t>
      </w:r>
      <w:r>
        <w:t xml:space="preserve">used before the principal outcomes were available, and how the limited</w:t>
      </w:r>
      <w:r>
        <w:t xml:space="preserve"> </w:t>
      </w:r>
      <w:r>
        <w:t xml:space="preserve">sensitivity grid constrains the interpretation of direct-event disagreement.</w:t>
      </w:r>
    </w:p>
    <w:p>
      <w:pPr>
        <w:pStyle w:val="BodyText"/>
      </w:pPr>
      <w:r>
        <w:t xml:space="preserve">The evidence hierarchy is unchanged. Principal claims use two existing energy</w:t>
      </w:r>
      <w:r>
        <w:t xml:space="preserve"> </w:t>
      </w:r>
      <w:r>
        <w:t xml:space="preserve">scans, 35 and 46 retained source frames, four mapped branches, and 324 fixed</w:t>
      </w:r>
      <w:r>
        <w:t xml:space="preserve"> </w:t>
      </w:r>
      <w:r>
        <w:t xml:space="preserve">branch-frame opportunities per method. The local side is a proposal-to-region</w:t>
      </w:r>
      <w:r>
        <w:t xml:space="preserve"> </w:t>
      </w:r>
      <w:r>
        <w:t xml:space="preserve">to Gaussian-refinement path. The external side is the indexed whole-pattern</w:t>
      </w:r>
      <w:r>
        <w:t xml:space="preserve"> </w:t>
      </w:r>
      <w:r>
        <w:t xml:space="preserve">ViPErLEED path. Their endpoints are operationally distinct. Neither endpoint</w:t>
      </w:r>
      <w:r>
        <w:t xml:space="preserve"> </w:t>
      </w:r>
      <w:r>
        <w:t xml:space="preserve">is physical-visibility, absolute-position, or LEED spot identity ground truth,</w:t>
      </w:r>
      <w:r>
        <w:t xml:space="preserve"> </w:t>
      </w:r>
      <w:r>
        <w:t xml:space="preserve">and the restricted pilot cannot provide such ground truth. The restricted pilot</w:t>
      </w:r>
      <w:r>
        <w:t xml:space="preserve"> </w:t>
      </w:r>
      <w:r>
        <w:t xml:space="preserve">is not an independent experimental replicate and not an absolute accuracy</w:t>
      </w:r>
      <w:r>
        <w:t xml:space="preserve"> </w:t>
      </w:r>
      <w:r>
        <w:t xml:space="preserve">reference. Its observations calibrated a positional tolerance and checked a</w:t>
      </w:r>
      <w:r>
        <w:t xml:space="preserve"> </w:t>
      </w:r>
      <w:r>
        <w:t xml:space="preserve">transferred registration; they were not added to the principal denominators.</w:t>
      </w:r>
    </w:p>
    <w:p>
      <w:pPr>
        <w:pStyle w:val="BodyText"/>
      </w:pPr>
      <w:r>
        <w:t xml:space="preserve">All displays below are explicitly</w:t>
      </w:r>
      <w:r>
        <w:t xml:space="preserve"> </w:t>
      </w:r>
      <w:r>
        <w:rPr>
          <w:b/>
          <w:bCs/>
        </w:rPr>
        <w:t xml:space="preserve">Supporting validation</w:t>
      </w:r>
      <w:r>
        <w:t xml:space="preserve"> </w:t>
      </w:r>
      <w:r>
        <w:t xml:space="preserve">items. They are not</w:t>
      </w:r>
      <w:r>
        <w:t xml:space="preserve"> </w:t>
      </w:r>
      <w:r>
        <w:t xml:space="preserve">uncited supplementary claims standing outside the approved XC1-XC7 boundary.</w:t>
      </w:r>
      <w:r>
        <w:t xml:space="preserve"> </w:t>
      </w:r>
      <w:r>
        <w:t xml:space="preserve">Figure S1 and Table S2 document the restricted calibration pilot. Figure S2</w:t>
      </w:r>
      <w:r>
        <w:t xml:space="preserve"> </w:t>
      </w:r>
      <w:r>
        <w:t xml:space="preserve">documents the complete predeclared sensitivity logic through a compact view of</w:t>
      </w:r>
      <w:r>
        <w:t xml:space="preserve"> </w:t>
      </w:r>
      <w:r>
        <w:t xml:space="preserve">the tolerance-dependent classifications. Table S1 records the endpoint and</w:t>
      </w:r>
      <w:r>
        <w:t xml:space="preserve"> </w:t>
      </w:r>
      <w:r>
        <w:t xml:space="preserve">denominator protections required to read both. Detailed records stay in the</w:t>
      </w:r>
      <w:r>
        <w:t xml:space="preserve"> </w:t>
      </w:r>
      <w:r>
        <w:t xml:space="preserve">manifested repository packages identified in Section S5.</w:t>
      </w:r>
    </w:p>
    <w:p>
      <w:pPr>
        <w:pStyle w:val="BodyText"/>
      </w:pPr>
      <w:r>
        <w:t xml:space="preserve">This separation also defines what the supplement does not contain. It contains</w:t>
      </w:r>
      <w:r>
        <w:t xml:space="preserve"> </w:t>
      </w:r>
      <w:r>
        <w:t xml:space="preserve">no full image sequence, per-frame branch table, per-opportunity cross-contract</w:t>
      </w:r>
      <w:r>
        <w:t xml:space="preserve"> </w:t>
      </w:r>
      <w:r>
        <w:t xml:space="preserve">matrix, runtime inventory, hash listing, or executed macro. Those materials are</w:t>
      </w:r>
      <w:r>
        <w:t xml:space="preserve"> </w:t>
      </w:r>
      <w:r>
        <w:t xml:space="preserve">essential for reconstruction but unsuitable as reader-facing displays. Their</w:t>
      </w:r>
      <w:r>
        <w:t xml:space="preserve"> </w:t>
      </w:r>
      <w:r>
        <w:t xml:space="preserve">absence from this document is an editorial constraint, not a loss of evidence:</w:t>
      </w:r>
      <w:r>
        <w:t xml:space="preserve"> </w:t>
      </w:r>
      <w:r>
        <w:t xml:space="preserve">the frozen manifests preserve the exact files, while this supplement preserves</w:t>
      </w:r>
      <w:r>
        <w:t xml:space="preserve"> </w:t>
      </w:r>
      <w:r>
        <w:t xml:space="preserve">the limited scientific explanation needed to audit the claims.</w:t>
      </w:r>
    </w:p>
    <w:bookmarkEnd w:id="9"/>
    <w:bookmarkStart w:id="10" w:name="s2.-frozen-measurement-contracts"/>
    <w:p>
      <w:pPr>
        <w:pStyle w:val="Heading1"/>
      </w:pPr>
      <w:r>
        <w:t xml:space="preserve">S2. Frozen measurement contracts</w:t>
      </w:r>
    </w:p>
    <w:p>
      <w:pPr>
        <w:pStyle w:val="FirstParagraph"/>
      </w:pPr>
      <w:r>
        <w:t xml:space="preserve">The local endpoint is</w:t>
      </w:r>
      <w:r>
        <w:t xml:space="preserve"> </w:t>
      </w:r>
      <w:r>
        <w:rPr>
          <w:b/>
          <w:bCs/>
        </w:rPr>
        <w:t xml:space="preserve">Gaussian-contract measurability</w:t>
      </w:r>
      <w:r>
        <w:t xml:space="preserve">. For each method and</w:t>
      </w:r>
      <w:r>
        <w:t xml:space="preserve"> </w:t>
      </w:r>
      <w:r>
        <w:t xml:space="preserve">predeclared branch-frame opportunity, a native proposal locates a common image</w:t>
      </w:r>
      <w:r>
        <w:t xml:space="preserve"> </w:t>
      </w:r>
      <w:r>
        <w:t xml:space="preserve">region. The same two-dimensional Gaussian estimator is then applied. The state</w:t>
      </w:r>
      <w:r>
        <w:t xml:space="preserve"> </w:t>
      </w:r>
      <w:r>
        <w:t xml:space="preserve">is positive only when the estimator returns a finite Gaussian-refined spot</w:t>
      </w:r>
      <w:r>
        <w:t xml:space="preserve"> </w:t>
      </w:r>
      <w:r>
        <w:t xml:space="preserve">position and every frozen local acceptance gate passes. Branch consistency is</w:t>
      </w:r>
      <w:r>
        <w:t xml:space="preserve"> </w:t>
      </w:r>
      <w:r>
        <w:t xml:space="preserve">evaluated after this endpoint and is not folded into measurability. A rejected</w:t>
      </w:r>
      <w:r>
        <w:t xml:space="preserve"> </w:t>
      </w:r>
      <w:r>
        <w:t xml:space="preserve">fit remains a retained negative state; it is not relabeled as deliberate</w:t>
      </w:r>
      <w:r>
        <w:t xml:space="preserve"> </w:t>
      </w:r>
      <w:r>
        <w:t xml:space="preserve">tracker abstention or physical disappearance.</w:t>
      </w:r>
    </w:p>
    <w:p>
      <w:pPr>
        <w:pStyle w:val="BodyText"/>
      </w:pPr>
      <w:r>
        <w:t xml:space="preserve">The external endpoint is</w:t>
      </w:r>
      <w:r>
        <w:t xml:space="preserve"> </w:t>
      </w:r>
      <w:r>
        <w:rPr>
          <w:b/>
          <w:bCs/>
        </w:rPr>
        <w:t xml:space="preserve">ViPEr-native direct detectability</w:t>
      </w:r>
      <w:r>
        <w:t xml:space="preserve">. ViPErLEED uses</w:t>
      </w:r>
      <w:r>
        <w:t xml:space="preserve"> </w:t>
      </w:r>
      <w:r>
        <w:t xml:space="preserve">an indexed whole-pattern registration, the frozen significance threshold, and</w:t>
      </w:r>
      <w:r>
        <w:t xml:space="preserve"> </w:t>
      </w:r>
      <w:r>
        <w:t xml:space="preserve">raw native position deviations. A mapped observation is direct only when</w:t>
      </w:r>
      <w:r>
        <w:t xml:space="preserve"> </w:t>
      </w:r>
      <w:r>
        <w:t xml:space="preserve">significance is at least 2.5 and both raw deviations are finite. A smoothed,</w:t>
      </w:r>
      <w:r>
        <w:t xml:space="preserve"> </w:t>
      </w:r>
      <w:r>
        <w:t xml:space="preserve">extrapolated, or final native coordinate alone cannot make the state positive.</w:t>
      </w:r>
      <w:r>
        <w:t xml:space="preserve"> </w:t>
      </w:r>
      <w:r>
        <w:t xml:space="preserve">The principal package therefore retains 305 direct and 19 non-direct outcomes</w:t>
      </w:r>
      <w:r>
        <w:t xml:space="preserve"> </w:t>
      </w:r>
      <w:r>
        <w:t xml:space="preserve">among 324 mapped branch opportunities even though a final native position is</w:t>
      </w:r>
      <w:r>
        <w:t xml:space="preserve"> </w:t>
      </w:r>
      <w:r>
        <w:t xml:space="preserve">available for every opportunity.</w:t>
      </w:r>
    </w:p>
    <w:p>
      <w:pPr>
        <w:pStyle w:val="BodyText"/>
      </w:pPr>
      <w:r>
        <w:t xml:space="preserve">These rules were frozen before cross-contract outcome computation. The same</w:t>
      </w:r>
      <w:r>
        <w:t xml:space="preserve"> </w:t>
      </w:r>
      <w:r>
        <w:t xml:space="preserve">pilot pattern, final pilot screen fit, annular mask, native tracking parameters,</w:t>
      </w:r>
      <w:r>
        <w:t xml:space="preserve"> </w:t>
      </w:r>
      <w:r>
        <w:t xml:space="preserve">and source-frame sequences were used without per-frame correction, selective</w:t>
      </w:r>
      <w:r>
        <w:t xml:space="preserve"> </w:t>
      </w:r>
      <w:r>
        <w:t xml:space="preserve">beam deletion, or tuning after outcomes became visible. Each principal scan</w:t>
      </w:r>
      <w:r>
        <w:t xml:space="preserve"> </w:t>
      </w:r>
      <w:r>
        <w:t xml:space="preserve">received one unchanged transferred initialization. ViPErLEED remained outside</w:t>
      </w:r>
      <w:r>
        <w:t xml:space="preserve"> </w:t>
      </w:r>
      <w:r>
        <w:t xml:space="preserve">the shared Gaussian estimator: it is an external measurement contract, not a</w:t>
      </w:r>
      <w:r>
        <w:t xml:space="preserve"> </w:t>
      </w:r>
      <w:r>
        <w:t xml:space="preserve">sixth proposal method in the local comparison.</w:t>
      </w:r>
    </w:p>
    <w:p>
      <w:pPr>
        <w:pStyle w:val="Caption"/>
        <w:keepNext w:val="1"/>
      </w:pPr>
      <w:r>
        <w:rPr>
          <w:b/>
          <w:bCs/>
        </w:rPr>
        <w:t xml:space="preserve">Table S1. Supporting validation.</w:t>
      </w:r>
      <w:r>
        <w:t xml:space="preserve"> </w:t>
      </w:r>
      <w:r>
        <w:t xml:space="preserve">Frozen measurement endpoints and denominator protection. The compact three-column form is intended for an 88 mm single-column layout.</w:t>
      </w:r>
    </w:p>
    <w:tbl>
      <w:tblPr>
        <w:tblStyle w:val="Table"/>
        <w:tblW w:type="dxa" w:w="4989"/>
        <w:tblLayout w:type="fixed"/>
        <w:tblLook w:firstRow="1" w:lastRow="0" w:firstColumn="0" w:lastColumn="0" w:noHBand="0" w:noVBand="0" w:val="0020"/>
        <w:tblInd w:type="dxa" w:w="0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600"/>
        <w:gridCol w:w="2089"/>
      </w:tblGrid>
      <w:tr>
        <w:trPr>
          <w:tblHeader w:val="on"/>
        </w:trPr>
        <w:tc>
          <w:tcPr>
            <w:tcW w:type="dxa" w:w="130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Measurement path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160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Qualifying endpoint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2089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Denominator and retained missingness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</w:tr>
      <w:tr>
        <w:tc>
          <w:tcPr>
            <w:tcW w:type="dxa" w:w="130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Local proposal-to-Gaussian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160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Finite Gaussian-refined spot position passing every frozen local gate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2089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324 opportunities per method; rejection remains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  <w:r>
              <w:t xml:space="preserve"> 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  <w:r>
              <w:rPr>
                <w:rStyle w:val="VerbatimChar"/>
                <w:rFonts w:ascii="Arial" w:hAnsi="Arial" w:eastAsia="Arial" w:cs="Arial"/>
                <w:sz w:val="15"/>
                <w:szCs w:val="15"/>
                <w:color w:val="000000"/>
              </w:rPr>
              <w:t xml:space="preserve">G=0</w:t>
            </w:r>
            <w:r>
              <w:t xml:space="preserve">, and branch consistency is separate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</w:tr>
      <w:tr>
        <w:tc>
          <w:tcPr>
            <w:tcW w:type="dxa" w:w="130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Native indexed whole-pattern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160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Significance at least 2.5 with finite raw x and y deviations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2089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324 mapped opportunities; subthreshold, non-finite, smoothed-only, and edge observations remain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  <w:r>
              <w:t xml:space="preserve"> 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  <w:r>
              <w:rPr>
                <w:rStyle w:val="VerbatimChar"/>
                <w:rFonts w:ascii="Arial" w:hAnsi="Arial" w:eastAsia="Arial" w:cs="Arial"/>
                <w:sz w:val="15"/>
                <w:szCs w:val="15"/>
                <w:color w:val="000000"/>
              </w:rPr>
              <w:t xml:space="preserve">V=0</w:t>
            </w:r>
          </w:p>
        </w:tc>
      </w:tr>
    </w:tbl>
    <w:p>
      <w:pPr>
        <w:pStyle w:val="BodyText"/>
      </w:pPr>
      <w:r>
        <w:t xml:space="preserve">The joint four-state matrix is formed only after the two endpoints are assigned.</w:t>
      </w:r>
      <w:r>
        <w:t xml:space="preserve"> </w:t>
      </w:r>
      <w:r>
        <w:t xml:space="preserve">It retains both-contract, Gaussian-only, ViPErLEED-only, and neither-contract</w:t>
      </w:r>
      <w:r>
        <w:t xml:space="preserve"> </w:t>
      </w:r>
      <w:r>
        <w:t xml:space="preserve">states for every method opportunity. The 1,620 method rows are five strata over</w:t>
      </w:r>
      <w:r>
        <w:t xml:space="preserve"> </w:t>
      </w:r>
      <w:r>
        <w:t xml:space="preserve">the same acquisitions and native opportunities, not independent experimental</w:t>
      </w:r>
      <w:r>
        <w:t xml:space="preserve"> </w:t>
      </w:r>
      <w:r>
        <w:t xml:space="preserve">replicates. This is why method rows are reported separately over 324 rather</w:t>
      </w:r>
      <w:r>
        <w:t xml:space="preserve"> </w:t>
      </w:r>
      <w:r>
        <w:t xml:space="preserve">than pooled into one apparently larger sample.</w:t>
      </w:r>
    </w:p>
    <w:p>
      <w:pPr>
        <w:pStyle w:val="BodyText"/>
      </w:pPr>
      <w:r>
        <w:t xml:space="preserve">Outcome-specific denominators remain distinct. Branch-consistent measurement</w:t>
      </w:r>
      <w:r>
        <w:t xml:space="preserve"> </w:t>
      </w:r>
      <w:r>
        <w:t xml:space="preserve">coverage uses 221 frozen physics-baseline-visible opportunities per method.</w:t>
      </w:r>
      <w:r>
        <w:t xml:space="preserve"> </w:t>
      </w:r>
      <w:r>
        <w:t xml:space="preserve">The all-frame out-of-branch fraction conditions on the method’s 206-272</w:t>
      </w:r>
      <w:r>
        <w:t xml:space="preserve"> </w:t>
      </w:r>
      <w:r>
        <w:t xml:space="preserve">accepted Gaussian fits. Interpretation conditions on the 124 accepted</w:t>
      </w:r>
      <w:r>
        <w:t xml:space="preserve"> </w:t>
      </w:r>
      <w:r>
        <w:t xml:space="preserve">out-of-branch events. Sensitivity comprises all nine combinations of three</w:t>
      </w:r>
      <w:r>
        <w:t xml:space="preserve"> </w:t>
      </w:r>
      <w:r>
        <w:t xml:space="preserve">native significance thresholds and three positional tolerances for all five</w:t>
      </w:r>
      <w:r>
        <w:t xml:space="preserve"> </w:t>
      </w:r>
      <w:r>
        <w:t xml:space="preserve">method strata, giving 45 method-variant rows. A missing state or Unresolved</w:t>
      </w:r>
      <w:r>
        <w:t xml:space="preserve"> </w:t>
      </w:r>
      <w:r>
        <w:t xml:space="preserve">cross-contract outcome stays in the relevant denominator; no conditional</w:t>
      </w:r>
      <w:r>
        <w:t xml:space="preserve"> </w:t>
      </w:r>
      <w:r>
        <w:t xml:space="preserve">surviving set replaces a fixed opportunity inventory.</w:t>
      </w:r>
    </w:p>
    <w:p>
      <w:pPr>
        <w:pStyle w:val="BodyText"/>
      </w:pPr>
      <w:r>
        <w:t xml:space="preserve">Gap construction preserves the same contract boundary. A</w:t>
      </w:r>
      <w:r>
        <w:t xml:space="preserve"> </w:t>
      </w:r>
      <w:r>
        <w:rPr>
          <w:b/>
          <w:bCs/>
        </w:rPr>
        <w:t xml:space="preserve">Gaussian-contract gap</w:t>
      </w:r>
      <w:r>
        <w:t xml:space="preserve"> </w:t>
      </w:r>
      <w:r>
        <w:t xml:space="preserve">is a maximal contiguous run of local non-measurability</w:t>
      </w:r>
      <w:r>
        <w:t xml:space="preserve"> </w:t>
      </w:r>
      <w:r>
        <w:t xml:space="preserve">for one method, scan, and branch with Gaussian-contract measurability</w:t>
      </w:r>
      <w:r>
        <w:t xml:space="preserve"> </w:t>
      </w:r>
      <w:r>
        <w:t xml:space="preserve">immediately before and after the run. A</w:t>
      </w:r>
      <w:r>
        <w:t xml:space="preserve"> </w:t>
      </w:r>
      <w:r>
        <w:rPr>
          <w:b/>
          <w:bCs/>
        </w:rPr>
        <w:t xml:space="preserve">ViPEr-native visibility gap</w:t>
      </w:r>
      <w:r>
        <w:t xml:space="preserve"> </w:t>
      </w:r>
      <w:r>
        <w:t xml:space="preserve">applies</w:t>
      </w:r>
      <w:r>
        <w:t xml:space="preserve"> </w:t>
      </w:r>
      <w:r>
        <w:t xml:space="preserve">the corresponding bounded-run rule to one indexed beam and requires direct</w:t>
      </w:r>
      <w:r>
        <w:t xml:space="preserve"> </w:t>
      </w:r>
      <w:r>
        <w:t xml:space="preserve">native detections at both boundaries. Edge runs and isolated non-direct states</w:t>
      </w:r>
      <w:r>
        <w:t xml:space="preserve"> </w:t>
      </w:r>
      <w:r>
        <w:t xml:space="preserve">without both boundaries remain in the opportunity matrix but are not promoted</w:t>
      </w:r>
      <w:r>
        <w:t xml:space="preserve"> </w:t>
      </w:r>
      <w:r>
        <w:t xml:space="preserve">to bounded gaps. Consequently, a gap count describes absence under one named</w:t>
      </w:r>
      <w:r>
        <w:t xml:space="preserve"> </w:t>
      </w:r>
      <w:r>
        <w:t xml:space="preserve">endpoint, not physical disappearance or an estimator-independent I(V) visibility gap.</w:t>
      </w:r>
    </w:p>
    <w:p>
      <w:pPr>
        <w:pStyle w:val="BodyText"/>
      </w:pPr>
      <w:r>
        <w:t xml:space="preserve">Comparison components are constructed only within method, scan, and branch.</w:t>
      </w:r>
      <w:r>
        <w:t xml:space="preserve"> </w:t>
      </w:r>
      <w:r>
        <w:t xml:space="preserve">Closed gap intervals from both contracts are connected when they overlap; a</w:t>
      </w:r>
      <w:r>
        <w:t xml:space="preserve"> </w:t>
      </w:r>
      <w:r>
        <w:t xml:space="preserve">component is then Gaussian-only, ViPErLEED-only, or shared according to the</w:t>
      </w:r>
      <w:r>
        <w:t xml:space="preserve"> </w:t>
      </w:r>
      <w:r>
        <w:t xml:space="preserve">intervals it contains. Exact boundary agreement is stricter than overlap and</w:t>
      </w:r>
      <w:r>
        <w:t xml:space="preserve"> </w:t>
      </w:r>
      <w:r>
        <w:t xml:space="preserve">requires one gap from each contract with identical first and last gap frames.</w:t>
      </w:r>
      <w:r>
        <w:t xml:space="preserve"> </w:t>
      </w:r>
      <w:r>
        <w:t xml:space="preserve">The first observation after a component is an exit diagnostic. Even when both</w:t>
      </w:r>
      <w:r>
        <w:t xml:space="preserve"> </w:t>
      </w:r>
      <w:r>
        <w:t xml:space="preserve">contracts observe there, the record does not prove recovery of physical LEED</w:t>
      </w:r>
      <w:r>
        <w:t xml:space="preserve"> </w:t>
      </w:r>
      <w:r>
        <w:t xml:space="preserve">spot identity. These distinctions explain why the full gap-event and component</w:t>
      </w:r>
      <w:r>
        <w:t xml:space="preserve"> </w:t>
      </w:r>
      <w:r>
        <w:t xml:space="preserve">tables stay in the repository while their operational rules remain in the</w:t>
      </w:r>
      <w:r>
        <w:t xml:space="preserve"> </w:t>
      </w:r>
      <w:r>
        <w:t xml:space="preserve">reader-facing supplement.</w:t>
      </w:r>
    </w:p>
    <w:bookmarkEnd w:id="10"/>
    <w:bookmarkStart w:id="15" w:name="Xc41f2f7e167a31949d9cf71467a2b47bc9cedfb"/>
    <w:p>
      <w:pPr>
        <w:pStyle w:val="Heading1"/>
      </w:pPr>
      <w:r>
        <w:t xml:space="preserve">S3. Restricted pilot calibration evidence</w:t>
      </w:r>
    </w:p>
    <w:p>
      <w:pPr>
        <w:pStyle w:val="FirstParagraph"/>
      </w:pPr>
      <w:r>
        <w:t xml:space="preserve">The pilot used 15 existing high-energy frames and four preregistered mapped</w:t>
      </w:r>
      <w:r>
        <w:t xml:space="preserve"> </w:t>
      </w:r>
      <w:r>
        <w:t xml:space="preserve">branches, producing 60 branch-frame records. It initialized an 18-beam Ag(111)</w:t>
      </w:r>
      <w:r>
        <w:t xml:space="preserve"> </w:t>
      </w:r>
      <w:r>
        <w:t xml:space="preserve">pattern at 187.9 eV. Sixteen registration spots were directly available at that</w:t>
      </w:r>
      <w:r>
        <w:t xml:space="preserve"> </w:t>
      </w:r>
      <w:r>
        <w:t xml:space="preserve">reference frame; two pattern beams were unobserved. Among tested polynomial</w:t>
      </w:r>
      <w:r>
        <w:t xml:space="preserve"> </w:t>
      </w:r>
      <w:r>
        <w:t xml:space="preserve">screen models, the frozen cubic registration had 2.589 px root-mean-square,</w:t>
      </w:r>
      <w:r>
        <w:t xml:space="preserve"> </w:t>
      </w:r>
      <w:r>
        <w:t xml:space="preserve">2.249 px median, and 4.824 px maximum residual over the detected registration</w:t>
      </w:r>
      <w:r>
        <w:t xml:space="preserve"> </w:t>
      </w:r>
      <w:r>
        <w:t xml:space="preserve">spots. All detected spots remained inside the 8.33 px search radius.</w:t>
      </w:r>
    </w:p>
    <w:p>
      <w:pPr>
        <w:pStyle w:val="BodyText"/>
      </w:pPr>
      <w:r>
        <w:t xml:space="preserve">This registration diagnostic asks whether the indexed pattern can be placed</w:t>
      </w:r>
      <w:r>
        <w:t xml:space="preserve"> </w:t>
      </w:r>
      <w:r>
        <w:t xml:space="preserve">consistently enough to run the native pathway. It is not a framewise</w:t>
      </w:r>
      <w:r>
        <w:t xml:space="preserve"> </w:t>
      </w:r>
      <w:r>
        <w:t xml:space="preserve">ground-truth error estimate for the four mapped branches. The residuals are</w:t>
      </w:r>
      <w:r>
        <w:t xml:space="preserve"> </w:t>
      </w:r>
      <w:r>
        <w:t xml:space="preserve">registration-to-detection discrepancies under one model at one reference</w:t>
      </w:r>
      <w:r>
        <w:t xml:space="preserve"> </w:t>
      </w:r>
      <w:r>
        <w:t xml:space="preserve">energy, not absolute spot-position errors across the scan. The final screen fit</w:t>
      </w:r>
      <w:r>
        <w:t xml:space="preserve"> </w:t>
      </w:r>
      <w:r>
        <w:t xml:space="preserve">was transferred unchanged to the two principal scans before their native</w:t>
      </w:r>
      <w:r>
        <w:t xml:space="preserve"> </w:t>
      </w:r>
      <w:r>
        <w:t xml:space="preserve">tracking outcomes were inspected.</w:t>
      </w:r>
    </w:p>
    <w:p>
      <w:pPr>
        <w:pStyle w:val="BodyText"/>
      </w:pPr>
      <w:r>
        <w:t xml:space="preserve">The pilot contained 59 ViPEr-native directly detectable records under the 2.5</w:t>
      </w:r>
      <w:r>
        <w:t xml:space="preserve"> </w:t>
      </w:r>
      <w:r>
        <w:t xml:space="preserve">threshold and retained one non-direct record. A total of 38 records also had an</w:t>
      </w:r>
      <w:r>
        <w:t xml:space="preserve"> </w:t>
      </w:r>
      <w:r>
        <w:t xml:space="preserve">accepted Gaussian-refined position and therefore supported a raw-native to</w:t>
      </w:r>
      <w:r>
        <w:t xml:space="preserve"> </w:t>
      </w:r>
      <w:r>
        <w:t xml:space="preserve">Gaussian displacement. Calibration used a stricter subset: both endpoints had</w:t>
      </w:r>
      <w:r>
        <w:t xml:space="preserve"> </w:t>
      </w:r>
      <w:r>
        <w:t xml:space="preserve">to be available and native significance had to be at least 20. This produced</w:t>
      </w:r>
      <w:r>
        <w:t xml:space="preserve"> </w:t>
      </w:r>
      <w:r>
        <w:t xml:space="preserve">22 predeclared high-signal records. Their largest raw-native to Gaussian</w:t>
      </w:r>
      <w:r>
        <w:t xml:space="preserve"> </w:t>
      </w:r>
      <w:r>
        <w:t xml:space="preserve">distance was 0.4549 px. The frozen rule doubled that maximum and rounded upward</w:t>
      </w:r>
      <w:r>
        <w:t xml:space="preserve"> </w:t>
      </w:r>
      <w:r>
        <w:t xml:space="preserve">to the next 1.0 px increment, yielding the nominal 1.0 px cross-contract</w:t>
      </w:r>
      <w:r>
        <w:t xml:space="preserve"> </w:t>
      </w:r>
      <w:r>
        <w:t xml:space="preserve">positional tolerance.</w:t>
      </w:r>
    </w:p>
    <w:bookmarkStart w:id="14" w:name="figure-s1"/>
    <w:p>
      <w:pPr>
        <w:pStyle w:val="CaptionedFigure"/>
        <w:spacing w:before="40" w:after="0" w:line="240" w:lineRule="auto"/>
        <w:jc w:val="center"/>
        <w:keepNext w:val="1"/>
      </w:pPr>
      <w:r>
        <w:drawing>
          <wp:inline>
            <wp:extent cx="3168000" cy="2698441"/>
            <wp:effectExtent b="0" l="0" r="0" t="0"/>
            <wp:docPr descr="Figure S1. Supporting validation. Restricted-pilot high-signal calibration distances between raw native and accepted Gaussian-refined positions. All 22 predeclared calibration records remain at or below the observed maximum of 0.455 px and below the frozen 1.0 px cross-contract tolerance. This is calibration-only evidence, not an independent experimental replicate or an absolute accuracy reference." title="" id="12" name="Picture"/>
            <a:graphic>
              <a:graphicData uri="http://schemas.openxmlformats.org/drawingml/2006/picture">
                <pic:pic>
                  <pic:nvPicPr>
                    <pic:cNvPr descr="manuscript/cross_contract/supplement/output/figure_s1_pilot_calibra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69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S1. Supporting validation. Restricted-pilot high-signal calibration distances between raw native and accepted Gaussian-refined positions. All 22 predeclared calibration records remain at or below the observed maximum of 0.455 px and below the frozen 1.0 px cross-contract tolerance. This is calibration-only evidence, not an independent experimental replicate or an absolute accuracy reference.</w:t>
      </w:r>
    </w:p>
    <w:bookmarkEnd w:id="14"/>
    <w:p>
      <w:pPr>
        <w:pStyle w:val="BodyText"/>
      </w:pPr>
      <w:r>
        <w:t xml:space="preserve">The distance is a disagreement between two operational endpoints after the</w:t>
      </w:r>
      <w:r>
        <w:t xml:space="preserve"> </w:t>
      </w:r>
      <w:r>
        <w:t xml:space="preserve">declared alignment. Its small value in the calibration subset supports a</w:t>
      </w:r>
      <w:r>
        <w:t xml:space="preserve"> </w:t>
      </w:r>
      <w:r>
        <w:t xml:space="preserve">conservative tolerance for later cross-contract interpretation, but does not</w:t>
      </w:r>
      <w:r>
        <w:t xml:space="preserve"> </w:t>
      </w:r>
      <w:r>
        <w:t xml:space="preserve">validate either endpoint against an unobserved true position. The subset was</w:t>
      </w:r>
      <w:r>
        <w:t xml:space="preserve"> </w:t>
      </w:r>
      <w:r>
        <w:t xml:space="preserve">not selected from the principal results, and its 22 rows are not added to any</w:t>
      </w:r>
      <w:r>
        <w:t xml:space="preserve"> </w:t>
      </w:r>
      <w:r>
        <w:t xml:space="preserve">principal-scan method denominator.</w:t>
      </w:r>
    </w:p>
    <w:p>
      <w:r>
        <w:br w:type="column"/>
      </w:r>
      <w:pPr/>
    </w:p>
    <w:p>
      <w:pPr>
        <w:pStyle w:val="Caption"/>
        <w:keepNext w:val="1"/>
      </w:pPr>
      <w:r>
        <w:rPr>
          <w:b/>
          <w:bCs/>
        </w:rPr>
        <w:t xml:space="preserve">Table S2. Supporting validation.</w:t>
      </w:r>
      <w:r>
        <w:t xml:space="preserve"> </w:t>
      </w:r>
      <w:r>
        <w:t xml:space="preserve">Restricted-pilot validation evidence and its permitted evidential role. The compact three-column form is intended for an 88 mm single-column layout.</w:t>
      </w:r>
    </w:p>
    <w:tbl>
      <w:tblPr>
        <w:tblStyle w:val="Table"/>
        <w:tblW w:type="dxa" w:w="4989"/>
        <w:tblLayout w:type="fixed"/>
        <w:tblLook w:firstRow="1" w:lastRow="0" w:firstColumn="0" w:lastColumn="0" w:noHBand="0" w:noVBand="0" w:val="0020"/>
        <w:tblInd w:type="dxa" w:w="0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450"/>
        <w:gridCol w:w="1050"/>
        <w:gridCol w:w="2489"/>
      </w:tblGrid>
      <w:tr>
        <w:trPr>
          <w:tblHeader w:val="on"/>
        </w:trPr>
        <w:tc>
          <w:tcPr>
            <w:tcW w:type="dxa" w:w="14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Pilot diagnostic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10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Frozen value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2489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Evidential role and limit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</w:tr>
      <w:tr>
        <w:tc>
          <w:tcPr>
            <w:tcW w:type="dxa" w:w="14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Pilot opportunity inventory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10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15 frames x 4 branches = 60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2489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Calibration-only stratum; not an independent experimental replicate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</w:tr>
      <w:tr>
        <w:tc>
          <w:tcPr>
            <w:tcW w:type="dxa" w:w="14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Native direct endpoint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10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59/60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2489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Contract check; not estimator-independent physical visibility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</w:tr>
      <w:tr>
        <w:tc>
          <w:tcPr>
            <w:tcW w:type="dxa" w:w="14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Cross-contract displacement records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10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38/60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2489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Endpoint comparison where both states qualify; not absolute accuracy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</w:tr>
      <w:tr>
        <w:tc>
          <w:tcPr>
            <w:tcW w:type="dxa" w:w="14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High-signal calibration subset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10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22 records at significance &gt;=20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2489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Predeclared tolerance input; not a principal result subset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</w:tr>
      <w:tr>
        <w:tc>
          <w:tcPr>
            <w:tcW w:type="dxa" w:w="14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Maximum calibration distance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10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0.4549 px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2489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Observed operational disagreement, not ground-truth error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</w:tr>
      <w:tr>
        <w:tc>
          <w:tcPr>
            <w:tcW w:type="dxa" w:w="14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Frozen positional tolerance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1050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1.0 px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  <w:tc>
          <w:tcPr>
            <w:tcW w:type="dxa" w:w="2489"/>
          </w:tcPr>
          <w:p>
            <w:pPr>
              <w:pStyle w:val="Compact"/>
              <w:spacing w:before="0" w:after="20" w:line="240" w:lineRule="auto"/>
              <w:jc w:val="left"/>
            </w:pPr>
            <w:r>
              <w:t xml:space="preserve">Twice the maximum rounded upward to 1.0 px; used without optimization</w:t>
              <w:rPr>
                <w:rFonts w:ascii="Arial" w:hAnsi="Arial" w:eastAsia="Arial" w:cs="Arial"/>
                <w:sz w:val="15"/>
                <w:szCs w:val="15"/>
                <w:color w:val="000000"/>
              </w:rPr>
            </w:r>
          </w:p>
        </w:tc>
      </w:tr>
    </w:tbl>
    <w:p>
      <w:pPr>
        <w:pStyle w:val="BodyText"/>
      </w:pPr>
      <w:r>
        <w:t xml:space="preserve">The pilot also retained 22 Gaussian rejections. Twenty-one occurred where the</w:t>
      </w:r>
      <w:r>
        <w:t xml:space="preserve"> </w:t>
      </w:r>
      <w:r>
        <w:t xml:space="preserve">native significance exceeded 2.5 and raw deviations were finite. This contrast</w:t>
      </w:r>
      <w:r>
        <w:t xml:space="preserve"> </w:t>
      </w:r>
      <w:r>
        <w:t xml:space="preserve">is consistent with the endpoints testing different evidence, but it is not a</w:t>
      </w:r>
      <w:r>
        <w:t xml:space="preserve"> </w:t>
      </w:r>
      <w:r>
        <w:t xml:space="preserve">miniature replication of the principal observability result. The pilot dataset,</w:t>
      </w:r>
      <w:r>
        <w:t xml:space="preserve"> </w:t>
      </w:r>
      <w:r>
        <w:t xml:space="preserve">energy range, and calibration use were fixed for method preparation, so its</w:t>
      </w:r>
      <w:r>
        <w:t xml:space="preserve"> </w:t>
      </w:r>
      <w:r>
        <w:t xml:space="preserve">counts remain supporting diagnostics only.</w:t>
      </w:r>
    </w:p>
    <w:bookmarkEnd w:id="15"/>
    <w:bookmarkStart w:id="20" w:name="s4.-limited-predeclared-sensitivity"/>
    <w:p>
      <w:pPr>
        <w:pStyle w:val="Heading1"/>
      </w:pPr>
      <w:r>
        <w:t xml:space="preserve">S4. Limited predeclared sensitivity</w:t>
      </w:r>
    </w:p>
    <w:p>
      <w:pPr>
        <w:pStyle w:val="FirstParagraph"/>
      </w:pPr>
      <w:r>
        <w:t xml:space="preserve">The nominal analysis used native significance 2.5 and positional tolerance</w:t>
      </w:r>
      <w:r>
        <w:t xml:space="preserve"> </w:t>
      </w:r>
      <w:r>
        <w:t xml:space="preserve">1.0 px. The predeclared sensitivity grid crossed significance thresholds 2.0,</w:t>
      </w:r>
      <w:r>
        <w:t xml:space="preserve"> </w:t>
      </w:r>
      <w:r>
        <w:t xml:space="preserve">2.5, and 3.0 with tolerances 0.5, 1.0, and 2.0 px. Every combination was</w:t>
      </w:r>
      <w:r>
        <w:t xml:space="preserve"> </w:t>
      </w:r>
      <w:r>
        <w:t xml:space="preserve">reported for every method. No variant was selected and no threshold was tuned</w:t>
      </w:r>
      <w:r>
        <w:t xml:space="preserve"> </w:t>
      </w:r>
      <w:r>
        <w:t xml:space="preserve">to improve a method’s apparent result.</w:t>
      </w:r>
    </w:p>
    <w:p>
      <w:pPr>
        <w:pStyle w:val="BodyText"/>
      </w:pPr>
      <w:r>
        <w:t xml:space="preserve">Across these 45 method-variant rows, changing the native significance threshold</w:t>
      </w:r>
      <w:r>
        <w:t xml:space="preserve"> </w:t>
      </w:r>
      <w:r>
        <w:t xml:space="preserve">did not change the four-state measurability totals, Gaussian-contract gap</w:t>
      </w:r>
      <w:r>
        <w:t xml:space="preserve"> </w:t>
      </w:r>
      <w:r>
        <w:t xml:space="preserve">counts, ViPEr-native visibility gap counts, comparison components, fixed</w:t>
      </w:r>
      <w:r>
        <w:t xml:space="preserve"> </w:t>
      </w:r>
      <w:r>
        <w:t xml:space="preserve">branch-consistent coverage, or accepted out-of-branch denominators. This</w:t>
      </w:r>
      <w:r>
        <w:t xml:space="preserve"> </w:t>
      </w:r>
      <w:r>
        <w:t xml:space="preserve">invariance is specific to the tested 2.0-3.0 range and the frozen observations.</w:t>
      </w:r>
      <w:r>
        <w:t xml:space="preserve"> </w:t>
      </w:r>
      <w:r>
        <w:t xml:space="preserve">It does not establish threshold invariance outside that limited grid.</w:t>
      </w:r>
    </w:p>
    <w:p>
      <w:pPr>
        <w:pStyle w:val="BodyText"/>
      </w:pPr>
      <w:r>
        <w:t xml:space="preserve">Positional tolerance changes only the interpretation of direct accepted</w:t>
      </w:r>
      <w:r>
        <w:t xml:space="preserve"> </w:t>
      </w:r>
      <w:r>
        <w:t xml:space="preserve">out-of-branch events. At 0.5 px, a stricter agreement requirement assigns more</w:t>
      </w:r>
      <w:r>
        <w:t xml:space="preserve"> </w:t>
      </w:r>
      <w:r>
        <w:t xml:space="preserve">direct events to</w:t>
      </w:r>
      <w:r>
        <w:t xml:space="preserve"> </w:t>
      </w:r>
      <w:r>
        <w:rPr>
          <w:b/>
          <w:bCs/>
        </w:rPr>
        <w:t xml:space="preserve">Cross-contract target inconsistency</w:t>
      </w:r>
      <w:r>
        <w:t xml:space="preserve">. At 2.0 px, more direct</w:t>
      </w:r>
      <w:r>
        <w:t xml:space="preserve"> </w:t>
      </w:r>
      <w:r>
        <w:t xml:space="preserve">events become branch-model disagreement. Events without a required direct</w:t>
      </w:r>
      <w:r>
        <w:t xml:space="preserve"> </w:t>
      </w:r>
      <w:r>
        <w:t xml:space="preserve">native observation remain</w:t>
      </w:r>
      <w:r>
        <w:t xml:space="preserve"> </w:t>
      </w:r>
      <w:r>
        <w:rPr>
          <w:b/>
          <w:bCs/>
        </w:rPr>
        <w:t xml:space="preserve">Unresolved cross-contract outcomes</w:t>
      </w:r>
      <w:r>
        <w:t xml:space="preserve"> </w:t>
      </w:r>
      <w:r>
        <w:t xml:space="preserve">at every</w:t>
      </w:r>
      <w:r>
        <w:t xml:space="preserve"> </w:t>
      </w:r>
      <w:r>
        <w:t xml:space="preserve">tolerance because changing a distance boundary cannot supply missing direct</w:t>
      </w:r>
      <w:r>
        <w:t xml:space="preserve"> </w:t>
      </w:r>
      <w:r>
        <w:t xml:space="preserve">evidence.</w:t>
      </w:r>
    </w:p>
    <w:bookmarkStart w:id="19" w:name="figure-s2"/>
    <w:p>
      <w:pPr>
        <w:pStyle w:val="CaptionedFigure"/>
        <w:spacing w:before="40" w:after="0" w:line="240" w:lineRule="auto"/>
        <w:jc w:val="center"/>
        <w:keepNext w:val="1"/>
      </w:pPr>
      <w:r>
        <w:drawing>
          <wp:inline>
            <wp:extent cx="3168000" cy="3600971"/>
            <wp:effectExtent b="0" l="0" r="0" t="0"/>
            <wp:docPr descr="Figure S2. Supporting validation. Predeclared positional-tolerance sensitivity for accepted out-of-branch events at the nominal native significance threshold. Increasing tolerance reallocates direct events from Cross-contract target inconsistency to branch-model disagreement; Unresolved cross-contract outcome counts remain fixed. The complete 45-row grid is retained in the manifested outcome package." title="" id="17" name="Picture"/>
            <a:graphic>
              <a:graphicData uri="http://schemas.openxmlformats.org/drawingml/2006/picture">
                <pic:pic>
                  <pic:nvPicPr>
                    <pic:cNvPr descr="manuscript/cross_contract/supplement/output/figure_s2_sensitivity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3600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S2. Supporting validation. Predeclared positional-tolerance sensitivity for accepted out-of-branch events at the nominal native significance threshold. Increasing tolerance reallocates direct events from Cross-contract target inconsistency to branch-model disagreement; Unresolved cross-contract outcome counts remain fixed. The complete 45-row grid is retained in the manifested outcome package.</w:t>
      </w:r>
    </w:p>
    <w:bookmarkEnd w:id="19"/>
    <w:p>
      <w:pPr>
        <w:pStyle w:val="BodyText"/>
      </w:pPr>
      <w:r>
        <w:t xml:space="preserve">EasyLEED is invariant at 4 branch-model disagreements, 0 Cross-contract target</w:t>
      </w:r>
      <w:r>
        <w:t xml:space="preserve"> </w:t>
      </w:r>
      <w:r>
        <w:t xml:space="preserve">inconsistencies, and 0 Unresolved cross-contract outcomes. LocoTrack and DAM4SAM</w:t>
      </w:r>
      <w:r>
        <w:t xml:space="preserve"> </w:t>
      </w:r>
      <w:r>
        <w:t xml:space="preserve">move from 17/11 to 26/2 direct classifications as tolerance changes from 0.5 to</w:t>
      </w:r>
      <w:r>
        <w:t xml:space="preserve"> </w:t>
      </w:r>
      <w:r>
        <w:t xml:space="preserve">2.0 px, with 8 Unresolved cross-contract outcomes. OSTrack moves from 15/11 to</w:t>
      </w:r>
      <w:r>
        <w:t xml:space="preserve"> </w:t>
      </w:r>
      <w:r>
        <w:t xml:space="preserve">24/2, also with 8 Unresolved cross-contract outcomes. Lucas-Kanade moves from</w:t>
      </w:r>
      <w:r>
        <w:t xml:space="preserve"> </w:t>
      </w:r>
      <w:r>
        <w:t xml:space="preserve">7/6 to 13/0, with one Unresolved cross-contract outcome. Each triplet continues</w:t>
      </w:r>
      <w:r>
        <w:t xml:space="preserve"> </w:t>
      </w:r>
      <w:r>
        <w:t xml:space="preserve">to sum to that method’s fixed accepted</w:t>
      </w:r>
      <w:r>
        <w:t xml:space="preserve"> </w:t>
      </w:r>
      <w:r>
        <w:t xml:space="preserve">out-of-branch event count: 4, 36, 34, 36, or 14.</w:t>
      </w:r>
    </w:p>
    <w:p>
      <w:pPr>
        <w:pStyle w:val="BodyText"/>
      </w:pPr>
      <w:r>
        <w:t xml:space="preserve">These envelopes bound the strongest interpretation. The nominal 16</w:t>
      </w:r>
      <w:r>
        <w:t xml:space="preserve"> </w:t>
      </w:r>
      <w:r>
        <w:t xml:space="preserve">Cross-contract target inconsistencies are not a tolerance-free fact, although</w:t>
      </w:r>
      <w:r>
        <w:t xml:space="preserve"> </w:t>
      </w:r>
      <w:r>
        <w:t xml:space="preserve">the existence of direct contract-level disagreement within the predeclared</w:t>
      </w:r>
      <w:r>
        <w:t xml:space="preserve"> </w:t>
      </w:r>
      <w:r>
        <w:t xml:space="preserve">range remains visible. Likewise, movement into branch-model disagreement does</w:t>
      </w:r>
      <w:r>
        <w:t xml:space="preserve"> </w:t>
      </w:r>
      <w:r>
        <w:t xml:space="preserve">not prove that the local continuation has the correct physical identity. The</w:t>
      </w:r>
      <w:r>
        <w:t xml:space="preserve"> </w:t>
      </w:r>
      <w:r>
        <w:t xml:space="preserve">grid is a bounded robustness check, not parameter optimization, a complete</w:t>
      </w:r>
      <w:r>
        <w:t xml:space="preserve"> </w:t>
      </w:r>
      <w:r>
        <w:t xml:space="preserve">capture-basin map, or evidence for a universal tracker ranking.</w:t>
      </w:r>
    </w:p>
    <w:p>
      <w:pPr>
        <w:pStyle w:val="BodyText"/>
      </w:pPr>
      <w:r>
        <w:t xml:space="preserve">Each sensitivity row is rebuilt from the same 324 opportunities per method.</w:t>
      </w:r>
      <w:r>
        <w:t xml:space="preserve"> </w:t>
      </w:r>
      <w:r>
        <w:t xml:space="preserve">Changing native significance can alter only the direct native state and the</w:t>
      </w:r>
      <w:r>
        <w:t xml:space="preserve"> </w:t>
      </w:r>
      <w:r>
        <w:t xml:space="preserve">events that depend on it; changing positional tolerance can alter only the two</w:t>
      </w:r>
      <w:r>
        <w:t xml:space="preserve"> </w:t>
      </w:r>
      <w:r>
        <w:t xml:space="preserve">direct-event interpretation classes. Neither parameter changes the stored</w:t>
      </w:r>
      <w:r>
        <w:t xml:space="preserve"> </w:t>
      </w:r>
      <w:r>
        <w:t xml:space="preserve">Gaussian proposal, region, fit, or acceptance result. The validator therefore</w:t>
      </w:r>
      <w:r>
        <w:t xml:space="preserve"> </w:t>
      </w:r>
      <w:r>
        <w:t xml:space="preserve">checks the fixed opportunity count, reference-visible count, accepted-fit</w:t>
      </w:r>
      <w:r>
        <w:t xml:space="preserve"> </w:t>
      </w:r>
      <w:r>
        <w:t xml:space="preserve">count, and accepted out-of-branch event count for every variant before</w:t>
      </w:r>
      <w:r>
        <w:t xml:space="preserve"> </w:t>
      </w:r>
      <w:r>
        <w:t xml:space="preserve">accepting the compact display data. It also verifies that all three thresholds,</w:t>
      </w:r>
      <w:r>
        <w:t xml:space="preserve"> </w:t>
      </w:r>
      <w:r>
        <w:t xml:space="preserve">all three tolerances, and all five method strata are present rather than</w:t>
      </w:r>
      <w:r>
        <w:t xml:space="preserve"> </w:t>
      </w:r>
      <w:r>
        <w:t xml:space="preserve">accepting a selected envelope endpoint.</w:t>
      </w:r>
    </w:p>
    <w:p>
      <w:pPr>
        <w:pStyle w:val="BodyText"/>
      </w:pPr>
      <w:r>
        <w:t xml:space="preserve">Figure S2 uses the nominal significance threshold only to avoid drawing three</w:t>
      </w:r>
      <w:r>
        <w:t xml:space="preserve"> </w:t>
      </w:r>
      <w:r>
        <w:t xml:space="preserve">identical sets of lines. Its source contains all five methods at all three</w:t>
      </w:r>
      <w:r>
        <w:t xml:space="preserve"> </w:t>
      </w:r>
      <w:r>
        <w:t xml:space="preserve">tolerances, while the authenticated upstream table retains all 45 rows. This</w:t>
      </w:r>
      <w:r>
        <w:t xml:space="preserve"> </w:t>
      </w:r>
      <w:r>
        <w:t xml:space="preserve">display reduction is therefore lossless for the tolerance pattern shown, but</w:t>
      </w:r>
      <w:r>
        <w:t xml:space="preserve"> </w:t>
      </w:r>
      <w:r>
        <w:t xml:space="preserve">is not a replacement for the complete sensitivity artifact. The unchanged</w:t>
      </w:r>
      <w:r>
        <w:t xml:space="preserve"> </w:t>
      </w:r>
      <w:r>
        <w:t xml:space="preserve">Unresolved cross-contract outcome count remains visible in the source data and</w:t>
      </w:r>
      <w:r>
        <w:t xml:space="preserve"> </w:t>
      </w:r>
      <w:r>
        <w:t xml:space="preserve">caption even though it does not require a third plotted panel.</w:t>
      </w:r>
    </w:p>
    <w:bookmarkEnd w:id="20"/>
    <w:bookmarkStart w:id="21" w:name="s5.-repository-evidence-boundary"/>
    <w:p>
      <w:pPr>
        <w:pStyle w:val="Heading1"/>
      </w:pPr>
      <w:r>
        <w:t xml:space="preserve">S5. Repository evidence boundary</w:t>
      </w:r>
    </w:p>
    <w:p>
      <w:pPr>
        <w:pStyle w:val="FirstParagraph"/>
      </w:pPr>
      <w:r>
        <w:t xml:space="preserve">The reader-facing supplement ends at the level required to audit the claims.</w:t>
      </w:r>
      <w:r>
        <w:t xml:space="preserve"> </w:t>
      </w:r>
      <w:r>
        <w:t xml:space="preserve">The complete sensitivity grid remains in</w:t>
      </w:r>
      <w:r>
        <w:t xml:space="preserve"> </w:t>
      </w:r>
      <w:r>
        <w:rPr>
          <w:rStyle w:val="VerbatimChar"/>
        </w:rPr>
        <w:t xml:space="preserve">manuscript/cross_contract/outcomes/sensitivity_results.csv</w:t>
      </w:r>
      <w:r>
        <w:t xml:space="preserve">; the full</w:t>
      </w:r>
      <w:r>
        <w:t xml:space="preserve"> </w:t>
      </w:r>
      <w:r>
        <w:t xml:space="preserve">branch-frame matrix and event tables remain beside it under the authenticated</w:t>
      </w:r>
      <w:r>
        <w:t xml:space="preserve"> </w:t>
      </w:r>
      <w:r>
        <w:t xml:space="preserve">outcome manifest. The 60 pilot records, raw and smoothed native tables,</w:t>
      </w:r>
      <w:r>
        <w:t xml:space="preserve"> </w:t>
      </w:r>
      <w:r>
        <w:t xml:space="preserve">registration evidence, executed macro, serialized parameters, and input hashes</w:t>
      </w:r>
      <w:r>
        <w:t xml:space="preserve"> </w:t>
      </w:r>
      <w:r>
        <w:t xml:space="preserve">remain in</w:t>
      </w:r>
      <w:r>
        <w:t xml:space="preserve"> </w:t>
      </w:r>
      <w:r>
        <w:rPr>
          <w:rStyle w:val="VerbatimChar"/>
        </w:rPr>
        <w:t xml:space="preserve">manuscript/cross_contract/viperleed_pilot/</w:t>
      </w:r>
      <w:r>
        <w:t xml:space="preserve">. Principal native tables,</w:t>
      </w:r>
      <w:r>
        <w:t xml:space="preserve"> </w:t>
      </w:r>
      <w:r>
        <w:t xml:space="preserve">both scan input manifests, executed macros, checkpoints, and the lossless</w:t>
      </w:r>
      <w:r>
        <w:t xml:space="preserve"> </w:t>
      </w:r>
      <w:r>
        <w:t xml:space="preserve">four-branch reduction remain in</w:t>
      </w:r>
      <w:r>
        <w:t xml:space="preserve"> </w:t>
      </w:r>
      <w:r>
        <w:rPr>
          <w:rStyle w:val="VerbatimChar"/>
        </w:rPr>
        <w:t xml:space="preserve">manuscript/cross_contract/viperleed_principal/</w:t>
      </w:r>
      <w:r>
        <w:t xml:space="preserve">.</w:t>
      </w:r>
    </w:p>
    <w:p>
      <w:pPr>
        <w:pStyle w:val="BodyText"/>
      </w:pPr>
      <w:r>
        <w:t xml:space="preserve">Those repository artifacts preserve failed and missing outcomes. A record is</w:t>
      </w:r>
      <w:r>
        <w:t xml:space="preserve"> </w:t>
      </w:r>
      <w:r>
        <w:t xml:space="preserve">not removed because Gaussian-contract measurability, ViPEr-native direct</w:t>
      </w:r>
      <w:r>
        <w:t xml:space="preserve"> </w:t>
      </w:r>
      <w:r>
        <w:t xml:space="preserve">detectability, or direct cross-contract interpretation is unavailable. Full</w:t>
      </w:r>
      <w:r>
        <w:t xml:space="preserve"> </w:t>
      </w:r>
      <w:r>
        <w:t xml:space="preserve">image sequences and per-frame records are consequently evidence assets rather</w:t>
      </w:r>
      <w:r>
        <w:t xml:space="preserve"> </w:t>
      </w:r>
      <w:r>
        <w:t xml:space="preserve">than supplementary displays. Hash inventories and runtime details authenticate</w:t>
      </w:r>
      <w:r>
        <w:t xml:space="preserve"> </w:t>
      </w:r>
      <w:r>
        <w:t xml:space="preserve">the reconstruction but are not scientific prose.</w:t>
      </w:r>
    </w:p>
    <w:p>
      <w:pPr>
        <w:pStyle w:val="BodyText"/>
      </w:pPr>
      <w:r>
        <w:t xml:space="preserve">The compact source-data files packaged with this supplement contain only the</w:t>
      </w:r>
      <w:r>
        <w:t xml:space="preserve"> </w:t>
      </w:r>
      <w:r>
        <w:t xml:space="preserve">22 calibration points used by Figure S1, the 15 nominal-threshold method and</w:t>
      </w:r>
      <w:r>
        <w:t xml:space="preserve"> </w:t>
      </w:r>
      <w:r>
        <w:t xml:space="preserve">tolerance rows used by Figure S2, and the concise rows printed in Tables S1 and</w:t>
      </w:r>
      <w:r>
        <w:t xml:space="preserve"> </w:t>
      </w:r>
      <w:r>
        <w:t xml:space="preserve">S2. They are derived views with explicit upstream bindings, not alternate</w:t>
      </w:r>
      <w:r>
        <w:t xml:space="preserve"> </w:t>
      </w:r>
      <w:r>
        <w:t xml:space="preserve">analysis inputs. Validation rebuilds each view and both figure formats from the</w:t>
      </w:r>
      <w:r>
        <w:t xml:space="preserve"> </w:t>
      </w:r>
      <w:r>
        <w:t xml:space="preserve">frozen repository evidence and rejects byte drift, unexpected nested content,</w:t>
      </w:r>
      <w:r>
        <w:t xml:space="preserve"> </w:t>
      </w:r>
      <w:r>
        <w:t xml:space="preserve">or a display outside its declared physical dimensions.</w:t>
      </w:r>
    </w:p>
    <w:p>
      <w:pPr>
        <w:pStyle w:val="BodyText"/>
      </w:pPr>
      <w:r>
        <w:t xml:space="preserve">This boundary keeps the Supplementary Information short enough for a</w:t>
      </w:r>
      <w:r>
        <w:t xml:space="preserve"> </w:t>
      </w:r>
      <w:r>
        <w:t xml:space="preserve">two-column production workflow while preserving auditability. The two figures</w:t>
      </w:r>
      <w:r>
        <w:t xml:space="preserve"> </w:t>
      </w:r>
      <w:r>
        <w:t xml:space="preserve">and two tables fit the declared 88 mm single-column width and use at least 7 pt</w:t>
      </w:r>
      <w:r>
        <w:t xml:space="preserve"> </w:t>
      </w:r>
      <w:r>
        <w:t xml:space="preserve">type in their generated assets. The canonical editable and rendered documents now include these displays.</w:t>
      </w:r>
      <w:r>
        <w:t xml:space="preserve"> </w:t>
      </w:r>
      <w:r>
        <w:t xml:space="preserve">Page-level render acceptance is complete. The outstanding Authorized deferred</w:t>
      </w:r>
      <w:r>
        <w:t xml:space="preserve"> </w:t>
      </w:r>
      <w:r>
        <w:t xml:space="preserve">publication inputs still prevent this scientific draft from being</w:t>
      </w:r>
      <w:r>
        <w:t xml:space="preserve"> </w:t>
      </w:r>
      <w:r>
        <w:rPr>
          <w:rStyle w:val="VerbatimChar"/>
        </w:rPr>
        <w:t xml:space="preserve">submission-ready</w:t>
      </w:r>
      <w:r>
        <w:t xml:space="preserve">.</w:t>
      </w:r>
    </w:p>
    <w:bookmarkEnd w:id="21"/>
    <w:sectPr>
      <w:footnotePr>
        <w:numRestart w:val="eachSect"/>
      </w:footnotePr>
      <w:pgSz w:w="11907" w:h="16840"/>
      <w:pgMar w:top="907" w:right="907" w:bottom="907" w:left="907" w:header="454" w:footer="454" w:gutter="0"/>
      <w:cols w:num="2" w:space="11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Times New Roman" w:hAnsi="Times New Roman" w:eastAsia="Times New Roman" w:cs="Times New Roman"/>
        <w:sz w:val="18"/>
        <w:szCs w:val="18"/>
        <w:lang w:bidi="ar-SA" w:eastAsia="zh-CN" w:val="en-US"/>
        <w:color w:val="000000"/>
      </w:rPr>
    </w:rPrDefault>
    <w:pPrDefault>
      <w:pPr>
        <w:spacing w:after="60" w:before="0" w:line="24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sz w:val="18"/>
      <w:szCs w:val="18"/>
      <w:color w:val="000000"/>
    </w:rPr>
    <w:pPr>
      <w:spacing w:before="0" w:after="60" w:line="240" w:lineRule="auto"/>
      <w:jc w:val="both"/>
    </w:pPr>
  </w:style>
  <w:style w:styleId="BodyText" w:type="paragraph">
    <w:name w:val="Body Text"/>
    <w:basedOn w:val="Normal"/>
    <w:link w:val="BodyTextChar"/>
    <w:qFormat/>
    <w:pPr>
      <w:spacing w:after="60" w:before="0" w:line="240" w:lineRule="auto"/>
      <w:jc w:val="both"/>
    </w:pPr>
    <w:rPr>
      <w:rFonts w:ascii="Times New Roman" w:hAnsi="Times New Roman" w:eastAsia="Times New Roman" w:cs="Times New Roman"/>
      <w:sz w:val="18"/>
      <w:szCs w:val="18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  <w:sz w:val="18"/>
      <w:szCs w:val="18"/>
      <w:color w:val="000000"/>
    </w:rPr>
    <w:pPr>
      <w:spacing w:before="0" w:after="60" w:line="240" w:lineRule="auto"/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 w:eastAsia="Arial" w:cs="Arial"/>
      <w:sz w:val="36"/>
      <w:szCs w:val="36"/>
      <w:color w:val="000000"/>
      <w:b w:val="1"/>
      <w:bCs w:val="1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160" w:line="240" w:lineRule="auto"/>
      <w:jc w:val="center"/>
    </w:pPr>
    <w:rPr>
      <w:rFonts w:cstheme="majorBidi" w:eastAsiaTheme="majorEastAsia" w:ascii="Arial" w:hAnsi="Arial" w:eastAsia="Arial" w:cs="Arial"/>
      <w:spacing w:val="15"/>
      <w:sz w:val="18"/>
      <w:szCs w:val="18"/>
      <w:color w:val="000000"/>
      <w:i w:val="1"/>
      <w:iCs w:val="1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20" w:line="240" w:lineRule="auto"/>
      <w:jc w:val="left"/>
    </w:pPr>
    <w:rPr>
      <w:rFonts w:ascii="Times New Roman" w:hAnsi="Times New Roman" w:eastAsia="Times New Roman" w:cs="Times New Roman"/>
      <w:sz w:val="16"/>
      <w:szCs w:val="16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1"/>
      <w:keepLines/>
      <w:spacing w:after="80" w:before="160" w:line="240" w:lineRule="auto"/>
      <w:outlineLvl w:val="0"/>
      <w:jc w:val="left"/>
    </w:pPr>
    <w:rPr>
      <w:rFonts w:asciiTheme="majorHAnsi" w:cstheme="majorBidi" w:eastAsiaTheme="majorEastAsia" w:hAnsiTheme="majorHAnsi" w:ascii="Arial" w:hAnsi="Arial" w:eastAsia="Arial" w:cs="Arial"/>
      <w:color w:val="2E74B5"/>
      <w:sz w:val="24"/>
      <w:szCs w:val="24"/>
      <w:b w:val="1"/>
      <w:bCs w:val="1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keepLines/>
      <w:spacing w:after="60" w:before="120" w:line="240" w:lineRule="auto"/>
      <w:outlineLvl w:val="1"/>
      <w:jc w:val="left"/>
    </w:pPr>
    <w:rPr>
      <w:rFonts w:asciiTheme="majorHAnsi" w:cstheme="majorBidi" w:eastAsiaTheme="majorEastAsia" w:hAnsiTheme="majorHAnsi" w:ascii="Arial" w:hAnsi="Arial" w:eastAsia="Arial" w:cs="Arial"/>
      <w:color w:val="2E74B5"/>
      <w:sz w:val="20"/>
      <w:szCs w:val="20"/>
      <w:b w:val="1"/>
      <w:bCs w:val="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keepLines/>
      <w:spacing w:after="40" w:before="100" w:line="240" w:lineRule="auto"/>
      <w:outlineLvl w:val="2"/>
      <w:jc w:val="left"/>
    </w:pPr>
    <w:rPr>
      <w:rFonts w:cstheme="majorBidi" w:eastAsiaTheme="majorEastAsia" w:ascii="Arial" w:hAnsi="Arial" w:eastAsia="Arial" w:cs="Arial"/>
      <w:color w:val="1F4D78"/>
      <w:sz w:val="18"/>
      <w:szCs w:val="18"/>
      <w:b w:val="1"/>
      <w:bCs w:val="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40" w:line="240" w:lineRule="auto"/>
      <w:jc w:val="left"/>
    </w:pPr>
    <w:rPr>
      <w:rFonts w:ascii="Arial" w:hAnsi="Arial" w:eastAsia="Arial" w:cs="Arial"/>
      <w:sz w:val="16"/>
      <w:szCs w:val="16"/>
      <w:color w:val="00000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Supplementary Information: Contract validation and bounded sensitivity</dc:title>
  <dc:creator/>
  <dc:language>en-US</dc:language>
  <cp:keywords/>
  <dcterms:created xsi:type="dcterms:W3CDTF">2026-08-08T00:00:00Z</dcterms:created>
  <dcterms:modified xsi:type="dcterms:W3CDTF">2026-08-08T00:00:00Z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manuscript/references.bib</vt:lpwstr>
  </property>
  <property fmtid="{D5CDD505-2E9C-101B-9397-08002B2CF9AE}" pid="3" name="link-citations">
    <vt:lpwstr>True</vt:lpwstr>
  </property>
  <property fmtid="{D5CDD505-2E9C-101B-9397-08002B2CF9AE}" pid="4" name="subtitle">
    <vt:lpwstr>Scientific draft - not submission-ready</vt:lpwstr>
  </property>
</Properties>
</file>