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943690" w14:textId="77777777" w:rsidR="0050431D" w:rsidRPr="0050431D" w:rsidRDefault="0050431D" w:rsidP="00920FA2">
      <w:bookmarkStart w:id="0" w:name="_GoBack"/>
      <w:bookmarkEnd w:id="0"/>
    </w:p>
    <w:p>
      <w:pPr>
        <w:jc w:val="center"/>
      </w:pPr>
      <w:r>
        <w:rPr>
          <w:b/>
          <w:sz w:val="28"/>
        </w:rPr>
        <w:t>Relatório de Análise n° 0XX/2025-CATENE/AGEMS</w:t>
      </w:r>
    </w:p>
    <w:p>
      <w:pPr>
        <w:ind w:left="4000"/>
        <w:jc w:val="both"/>
      </w:pPr>
      <w:r>
        <w:t xml:space="preserve"> </w:t>
        <w:br/>
        <w:br/>
        <w:br/>
        <w:t xml:space="preserve">Assunto: Atendimento à Demanda da Promotoria de Justiça da Comarca de Brasilândia, Ministério Público de Mato Grosso do Sul, relativa ao Ofício n° 0629/2025/PJ/BRS, que faz referência </w:t>
        <w:br/>
        <w:t>à Notícia de Fato n° 09.2025.00008077-8.</w:t>
        <w:br/>
        <w:br/>
        <w:br/>
        <w:br/>
        <w:t xml:space="preserve">        </w:t>
      </w:r>
    </w:p>
    <w:p>
      <w:pPr>
        <w:jc w:val="center"/>
      </w:pPr>
      <w:r>
        <w:rPr>
          <w:b/>
          <w:sz w:val="28"/>
        </w:rPr>
        <w:t>SUMÁRIO</w:t>
        <w:br/>
      </w:r>
      <w:fldSimple w:instr="TOC \o &quot;1-3&quot; \h \z \u">
        <w:r/>
      </w:fldSimple>
    </w:p>
    <w:p>
      <w:r>
        <w:br w:type="page"/>
      </w:r>
    </w:p>
    <w:p>
      <w:pPr>
        <w:pStyle w:val="Ttulo"/>
      </w:pPr>
      <w:r>
        <w:t>DO OBJETIVO</w:t>
      </w:r>
    </w:p>
    <w:p>
      <w:pPr>
        <w:pStyle w:val="SemEspaamento"/>
      </w:pPr>
      <w:r>
        <w:t xml:space="preserve"> Subsidiar a Diretoria de Regulação e Fiscalização – Gás Canalizado, Energia e Mineração da AGEMS na resposta ao Ofício n° 0629/2025/PJ/BRS, de 04 de novembro de 2025, da Promotoria de Justiça da Comarca de Brasilândia, Ministério Público de Mato Grosso do Sul, referente à solicitação para que a Agência verifique possíveis irregularidades e deficiências no fornecimento de energia elétrica por parte da empresa Energisa Mato Grosso do Sul – EMS, no município de Brasilândia.</w:t>
      </w:r>
    </w:p>
    <w:p>
      <w:pPr>
        <w:pStyle w:val="Ttulo"/>
      </w:pPr>
      <w:r>
        <w:t>DOS FATOS</w:t>
      </w:r>
    </w:p>
    <w:p>
      <w:pPr>
        <w:pStyle w:val="SemEspaamento"/>
      </w:pPr>
      <w:r>
        <w:t xml:space="preserve"> Solicitação da Promotoria de Justiça da Comarca de Brasilândia, Ministério Público de Mato Grosso do Sul para análise acerca de frequentes quedas de energia elétrica no município de Brasilândia, visando instruir a Notícia de Fato mencionada, em consonância com o Ofício n° 165/2025 da Câmara Municipal de Tacuru'. A análise foi elaborada pela Câmara Técnica de Energia e Mineração da AGEMS a partir de informações da ANEEL e da EMS. Nesse contexto, a presente análise foi elaborada pela Câmara Técnica de Energia e Mineração da AGEMS a partir de informações disponibilizadas pela ANEEL e de dados fornecidos pela EMS em resposta ao Ofício da Agência de n° 4732/2025/DGE, de 16 de outubro de 2025.</w:t>
      </w:r>
    </w:p>
    <w:p/>
    <w:p>
      <w:pPr>
        <w:pStyle w:val="SemEspaamento"/>
      </w:pPr>
      <w:r>
        <w:t xml:space="preserve"> Neste relatório são detalhados os esclarecimentos da EMS, conforme correspondência ENERGISAMS/DTEC-ANEEL/N°058/2025, de 21 de outubro de 2025, com análise das seguintes informações:</w:t>
      </w:r>
    </w:p>
    <w:p/>
    <w:p>
      <w:pPr>
        <w:pStyle w:val="Ttulo7"/>
        <w:jc w:val="both"/>
      </w:pPr>
      <w:r>
        <w:t xml:space="preserve">  a.</w:t>
        <w:tab/>
        <w:t>subestações e alimentadores de distribuição que fornecem energia ao município de Brasilândia, com respectivo diagrama unifilar do sistema elétrico e conjuntos aos quais pertencem os consumidores;</w:t>
      </w:r>
    </w:p>
    <w:p>
      <w:pPr>
        <w:pStyle w:val="Ttulo7"/>
        <w:jc w:val="both"/>
      </w:pPr>
      <w:r>
        <w:t xml:space="preserve">  b.</w:t>
        <w:tab/>
        <w:t>ocorrências com interrupção na rede de energia elétrica que afetaram os consumidores do município, no período de 01/01/2022 a 31/08/2025;</w:t>
      </w:r>
    </w:p>
    <w:p>
      <w:pPr>
        <w:pStyle w:val="Ttulo7"/>
        <w:jc w:val="both"/>
      </w:pPr>
      <w:r>
        <w:t xml:space="preserve">  c.</w:t>
        <w:tab/>
        <w:t>valores das compensações pagas aos consumidores pela extrapolação dos limites de continuidade individuais (DIC, FIC, DMIC e DICRI), relativos ao período de janeiro/2022 a agosto/2025;</w:t>
      </w:r>
    </w:p>
    <w:p>
      <w:pPr>
        <w:pStyle w:val="Ttulo7"/>
        <w:jc w:val="both"/>
      </w:pPr>
      <w:r>
        <w:t xml:space="preserve">  d.</w:t>
        <w:tab/>
        <w:t>manutenções realizadas em 2024 e até agosto de 2025 nas redes de distribuição e equipamentos que atendem o município, e as previsões para o restante do ano e para o ano de 2026;</w:t>
      </w:r>
    </w:p>
    <w:p>
      <w:pPr>
        <w:pStyle w:val="Ttulo7"/>
        <w:jc w:val="both"/>
      </w:pPr>
      <w:r>
        <w:t xml:space="preserve">  e.</w:t>
        <w:tab/>
        <w:t>obras de melhoria realizadas em 2024 e até agosto de 2025 no município, que tiveram por objetivo a melhora dos indicadores de continuidade das unidades consumidoras, como também as previstas para o restante do ano e para o ano de 2026.</w:t>
        <w:br/>
      </w:r>
    </w:p>
    <w:p>
      <w:pPr>
        <w:pStyle w:val="Ttulo"/>
      </w:pPr>
      <w:r>
        <w:t>DA ANÁLISE</w:t>
      </w:r>
    </w:p>
    <w:p>
      <w:pPr>
        <w:pStyle w:val="Ttulo8"/>
      </w:pPr>
      <w:r>
        <w:t>Indicadores Coletivos de Continuidade (DEC e FEC) do Município de Brasilândia</w:t>
      </w:r>
    </w:p>
    <w:p>
      <w:pPr>
        <w:pStyle w:val="SemEspaamento"/>
      </w:pPr>
      <w:r>
        <w:t>O indicador DEC, Duração Equivalente de Interrupção por Unidade Consumidora, é o intervalo de tempo que, em média, no período de apuração, em cada unidade consumidora do conjunto considerado, ocorreu descontinuidade da distribuição de energia elétrica.</w:t>
      </w:r>
    </w:p>
    <w:p/>
    <w:p>
      <w:pPr>
        <w:pStyle w:val="SemEspaamento"/>
      </w:pPr>
      <w:r>
        <w:t>O indicador FEC, Frequência Equivalente de Interrupção por Unidade Consumidora, compreende o número de interrupções ocorridas, em média, no período de apuração, em cada unidade consumidora do conjunto considerado.</w:t>
      </w:r>
    </w:p>
    <w:p/>
    <w:p>
      <w:pPr>
        <w:pStyle w:val="SemEspaamento"/>
      </w:pPr>
      <w:r>
        <w:t>Os valores dos limites anuais dos indicadores de continuidade dos conjuntos de unidades consumidoras serão disponibilizados por meio de audiência pública e estabelecidos em resolução específica, de acordo com a periodicidade da revisão tarifária da distribuidora.</w:t>
      </w:r>
    </w:p>
    <w:p/>
    <w:p>
      <w:pPr>
        <w:pStyle w:val="SemEspaamento"/>
      </w:pPr>
      <w:r>
        <w:t>Os valores estabelecidos para o período até a próxima revisão tarifária serão publicados por meio de resolução específica e entrarão em vigor a partir do mês de janeiro do ano subsequente à publicação, devendo propiciar melhoria do limite anual global de DEC e FEC da distribuidora.</w:t>
      </w:r>
    </w:p>
    <w:p/>
    <w:p>
      <w:pPr>
        <w:pStyle w:val="SemEspaamento"/>
      </w:pPr>
      <w:r>
        <w:t>Os gráficos apresentados na Figura 1, a seguir, visualizam as evoluções dos Indicadores Anuais de Continuidade DEC e FEC dos conjuntos Água Clara e Água Clara que atendem mais diretamente o município de Brasilândia, bem como os limites permitidos pela ANEEL, no período de janeiro de 2022 até novembro de 2025 (anualizado).</w:t>
      </w:r>
    </w:p>
    <w:p/>
    <w:p>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figura1.png"/>
                    <pic:cNvPicPr/>
                  </pic:nvPicPr>
                  <pic:blipFill>
                    <a:blip r:embed="rId12"/>
                    <a:stretch>
                      <a:fillRect/>
                    </a:stretch>
                  </pic:blipFill>
                  <pic:spPr>
                    <a:xfrm>
                      <a:off x="0" y="0"/>
                      <a:ext cx="5029200" cy="3771900"/>
                    </a:xfrm>
                    <a:prstGeom prst="rect"/>
                  </pic:spPr>
                </pic:pic>
              </a:graphicData>
            </a:graphic>
          </wp:inline>
        </w:drawing>
      </w:r>
    </w:p>
    <w:p>
      <w:pPr>
        <w:pStyle w:val="Ttulo9"/>
        <w:jc w:val="center"/>
      </w:pPr>
      <w:r>
        <w:t>Figura 1 - Evolução dos indicadores de continuidade DEC e FEC dos conjuntos Água Clara e Água Clara,que atendem o município de Brasilândia, no período 2022 a 2025</w:t>
        <w:br/>
      </w:r>
    </w:p>
    <w:p>
      <w:pPr>
        <w:pStyle w:val="SemEspaamento"/>
      </w:pPr>
      <w:r>
        <w:t>Os gráficos apresentados na Figura 1 mostram que:</w:t>
      </w:r>
    </w:p>
    <w:p/>
    <w:p>
      <w:pPr>
        <w:pStyle w:val="Ttulo7"/>
        <w:jc w:val="both"/>
      </w:pPr>
      <w:r>
        <w:t>a. Os limites para os indicadores DEC e FEC dos Conjuntos (em cor vermelha) se apresentam em curva descendente, resultante da exigência da ANEEL por melhora contínua da qualidade de serviço. Dessa forma a cada ano que passa a distribuidora necessita envidar mais esforços para manter-se dentro dos limites regulados;</w:t>
      </w:r>
    </w:p>
    <w:p>
      <w:pPr>
        <w:pStyle w:val="Ttulo7"/>
        <w:jc w:val="both"/>
      </w:pPr>
      <w:r>
        <w:t xml:space="preserve"> b. Dos 2 (dois) conjuntos analisados, as transgressões do indicador anual DEC (em cor azul) do conjunto Água Clara foram observadas em todos os anos apurados, mostrando um aumento no ano de 2023 e uma pequena queda no ano de 2024. Já o conjunto Água Clara mostra ultrapassagem do limite regulado no ano de 2021, melhorando nos anos seguintes para valores apurados dentro das metas. Vale destacar que o conjunto de Água Clara apresentou maiores números de ultrapassagens do limite mostrando a necessidade da Energisa Mato Grosso do Sul – EMS investir na região. Para o Conjunto Água Clara observa-se no gráfico que há uma busca da distribuidora em se adaptar aos novos limites estabelecidos pela ANEEL;</w:t>
      </w:r>
    </w:p>
    <w:p>
      <w:pPr>
        <w:pStyle w:val="Ttulo7"/>
        <w:jc w:val="both"/>
      </w:pPr>
      <w:r>
        <w:t xml:space="preserve"> c. A respeito das transgressões dos indicadores anuais de FEC (em cor verde), no geral há uma busca de distribuidora  em se adaptar aos novos limites. Somente o conjunto de Água Clara apresentou transgressão do valor limite nos anos de 2020 e 2021, todavia no restante dos anos apurados o indicador se manteve dentro do valor pactuado;</w:t>
      </w:r>
    </w:p>
    <w:p>
      <w:pPr>
        <w:pStyle w:val="Ttulo7"/>
        <w:jc w:val="both"/>
      </w:pPr>
      <w:r>
        <w:t xml:space="preserve"> d. Os expurgos por situação de emergência dos indicadores são representados em cor amarela. Os gráficos mostram cada mês a média móvel dos últimos 12 (doze) meses, dessa forma os eventos climáticos adversos refletem nos expurgos dos meses seguintes. A tempestade de areia ocorrida em outubro de 2021 impactou os indicadores como pode se perceber nos gráficos;</w:t>
      </w:r>
    </w:p>
    <w:p/>
    <w:p>
      <w:pPr>
        <w:pStyle w:val="Ttulo8"/>
      </w:pPr>
      <w:r>
        <w:t>Indicadores Individuais de Continuidade - Compensação</w:t>
      </w:r>
    </w:p>
    <w:p>
      <w:pPr>
        <w:pStyle w:val="SemEspaamento"/>
      </w:pPr>
      <w:r>
        <w:t xml:space="preserve"> Os indicadores individuais de continuidade DIC (Duração de Interrupção Individual por Unidade Consumidora), FIC (Frequência de Interrupção Individual por Unidade Consumidora) e DMIC (Duração Máxima de Interrupção Contínua por Unidade Consumidora) são destacados na fatura de energia elétrica do consumidor. Esses indicadores representam para o consumidor a qualidade dos serviços prestados pela distribuidora e mensuram a frequência e a duração das interrupções ocorridas em sua unidade.</w:t>
      </w:r>
    </w:p>
    <w:p/>
    <w:p>
      <w:pPr>
        <w:pStyle w:val="SemEspaamento"/>
      </w:pPr>
      <w:r>
        <w:t xml:space="preserve"> Os limites são definidos no Módulo 8 do PRODIST, para períodos mensais, trimestrais e anuais, com base na variação dos limites anuais dos indicadores de continuidade coletivos (DEC e FEC) dos conjuntos elétricos de consumidores.</w:t>
      </w:r>
    </w:p>
    <w:p/>
    <w:p>
      <w:pPr>
        <w:pStyle w:val="SemEspaamento"/>
      </w:pPr>
      <w:r>
        <w:t xml:space="preserve"> Quando esses indicadores individuais de continuidade são transgredidos, ou seja, excedem o limite estabelecido, a distribuidora deve compensar financeiramente o consumidor. A compensação é automática, e deve ser paga em até 2 (dois) meses após o mês de apuração do indicador (mês em que houve a interrupção).</w:t>
      </w:r>
    </w:p>
    <w:p/>
    <w:p>
      <w:pPr>
        <w:pStyle w:val="SemEspaamento"/>
      </w:pPr>
      <w:r>
        <w:t xml:space="preserve"> A Figura 1, a seguir apresenta os montantes de compensações pagas por violação aos limites dos indicadores individuais aos consumidores do município de Brasilândia no período de 2022 até novembro de 2025.</w:t>
      </w:r>
    </w:p>
    <w:p/>
    <w:p>
      <w:pPr>
        <w:pStyle w:val="Ttulo9"/>
        <w:jc w:val="center"/>
      </w:pPr>
      <w:r>
        <w:t>Figura 1 - Montantes de compensações anuais creditados aos consumidores por violação dos limites dos indicadores individuais no município Brasilândia,no período de 2022 até 2025</w:t>
        <w:br/>
      </w:r>
    </w:p>
    <w:p>
      <w:pPr>
        <w:pStyle w:val="SemEspaamento"/>
      </w:pPr>
      <w:r>
        <w:t xml:space="preserve">Percebe-se que houve um </w:t>
      </w:r>
      <w:r>
        <w:rPr>
          <w:highlight w:val="yellow"/>
          <w:u w:val="single"/>
        </w:rPr>
        <w:t>aumento</w:t>
      </w:r>
      <w:r>
        <w:t xml:space="preserve"> do valor pago nos anos de </w:t>
      </w:r>
      <w:r>
        <w:rPr>
          <w:highlight w:val="yellow"/>
          <w:u w:val="single"/>
        </w:rPr>
        <w:t>2022</w:t>
      </w:r>
      <w:r>
        <w:t xml:space="preserve"> e </w:t>
      </w:r>
      <w:r>
        <w:rPr>
          <w:highlight w:val="yellow"/>
          <w:u w:val="single"/>
        </w:rPr>
        <w:t>2023</w:t>
      </w:r>
      <w:r>
        <w:t xml:space="preserve"> em relação a </w:t>
      </w:r>
      <w:r>
        <w:rPr>
          <w:highlight w:val="yellow"/>
          <w:u w:val="single"/>
        </w:rPr>
        <w:t>2021</w:t>
      </w:r>
      <w:r>
        <w:t xml:space="preserve">. Em </w:t>
      </w:r>
      <w:r>
        <w:rPr>
          <w:highlight w:val="yellow"/>
          <w:u w:val="single"/>
        </w:rPr>
        <w:t>2024</w:t>
      </w:r>
      <w:r>
        <w:t xml:space="preserve">, os dados das compensações pagas são referentes ao período de janeiro a maio. Ao comparar com o mesmo período dos anos anteriores de </w:t>
      </w:r>
      <w:r>
        <w:rPr>
          <w:highlight w:val="yellow"/>
          <w:u w:val="single"/>
        </w:rPr>
        <w:t>2022</w:t>
      </w:r>
      <w:r>
        <w:t xml:space="preserve"> e </w:t>
      </w:r>
      <w:r>
        <w:rPr>
          <w:highlight w:val="yellow"/>
          <w:u w:val="single"/>
        </w:rPr>
        <w:t>2023</w:t>
      </w:r>
      <w:r>
        <w:t xml:space="preserve">, o valor de </w:t>
      </w:r>
      <w:r>
        <w:rPr>
          <w:highlight w:val="yellow"/>
          <w:u w:val="single"/>
        </w:rPr>
        <w:t>2024</w:t>
      </w:r>
      <w:r>
        <w:t xml:space="preserve"> demonstra uma tendência de alcançar os mesmos patamares anteriores, indicando que os problemas perduram no município.</w:t>
      </w:r>
    </w:p>
    <w:p/>
    <w:p>
      <w:pPr>
        <w:pStyle w:val="SemEspaamento"/>
      </w:pPr>
      <w:r>
        <w:t xml:space="preserve">O </w:t>
      </w:r>
      <w:r>
        <w:rPr>
          <w:highlight w:val="yellow"/>
          <w:u w:val="single"/>
        </w:rPr>
        <w:t>aumento</w:t>
      </w:r>
      <w:r>
        <w:t xml:space="preserve"> das compensações aos consumidores é resultante de limites mais rigorosos exigidos para a qualidade da distribuição de energia elétrica. A compensação diretamente na fatura do consumidor por transgressão de limites de indicadores é peça regulatória efetiva. É uma obrigação imposta à distribuidora que independe de uma ação fiscalizatória predeterminada. É um sinal regulatório cujo objetivo é fazer com que a concessionária invista na qualidade do serviço.</w:t>
      </w:r>
    </w:p>
    <w:p/>
    <w:p>
      <w:pPr>
        <w:pStyle w:val="Ttulo8"/>
      </w:pPr>
      <w:r>
        <w:t>Manutenções e Obras Previstas</w:t>
      </w:r>
    </w:p>
    <w:p>
      <w:pPr>
        <w:pStyle w:val="SemEspaamento"/>
      </w:pPr>
      <w:r>
        <w:t>Foi requisitado à concessionária EMS informar as manutenções realizadas em 2025 no município e as previsões para o ano de 2024, conforme mostrado na Tabela 1 a seguir.</w:t>
      </w:r>
    </w:p>
    <w:p/>
    <w:p>
      <w:pPr>
        <w:pStyle w:val="Ttulo9"/>
        <w:jc w:val="center"/>
      </w:pPr>
      <w:r>
        <w:t>Tabela 1 - Dados de valores executados e previstos de 2025 dos serviços de poda de árvore, manutenção e limpeza por faixa informados pela concessionária, referente ao município de Brasilândia</w:t>
        <w:br/>
      </w:r>
    </w:p>
    <w:p>
      <w:pPr>
        <w:pStyle w:val="SemEspaamento"/>
      </w:pPr>
      <w:r>
        <w:t xml:space="preserve">Pela tabela fica evidente que há intervenção da concessionária a respeito de podas de árvores, buscando trazer maior eficácia ao sistema de distribuição, sendo já executado 80,2% do previsto para o ano de </w:t>
      </w:r>
      <w:r>
        <w:rPr>
          <w:highlight w:val="yellow"/>
          <w:u w:val="single"/>
        </w:rPr>
        <w:t>2024</w:t>
      </w:r>
      <w:r>
        <w:t>.</w:t>
      </w:r>
    </w:p>
    <w:p/>
    <w:p>
      <w:pPr>
        <w:pStyle w:val="SemEspaamento"/>
      </w:pPr>
      <w:r>
        <w:t>Com relação as manutenções por estrutura e as limpezas de faixa de servidão nas linhas e redes de distribuição, a ENERGISA MS tem programações para 2025, com maior previsão para limpeza de faixa que é mais atinente a linha de distribuição de 34,5 kV.</w:t>
      </w:r>
    </w:p>
    <w:p/>
    <w:p>
      <w:pPr>
        <w:pStyle w:val="SemEspaamento"/>
      </w:pPr>
      <w:r>
        <w:t>Além das manutenções informadas, a Energisa Mato Grosso do Sul – EMS comunicou a realização de obras de substituição de cabos, postes, chaves, transformadores e equipamentos de rede de distribuição nos alimentadores que atendem a região. Porém, atualmente não está previsto nem uma obra estruturante para o ano de 2025.</w:t>
      </w:r>
    </w:p>
    <w:p/>
    <w:p>
      <w:pPr>
        <w:pStyle w:val="SemEspaamento"/>
      </w:pPr>
      <w:r>
        <w:t xml:space="preserve">A equipe de fiscalização da </w:t>
      </w:r>
      <w:r>
        <w:rPr>
          <w:highlight w:val="yellow"/>
          <w:u w:val="single"/>
        </w:rPr>
        <w:t>AGEMS</w:t>
      </w:r>
      <w:r>
        <w:t xml:space="preserve"> fez uma inspeção in loco no município de Brasilândia, no dia </w:t>
      </w:r>
      <w:r>
        <w:rPr>
          <w:highlight w:val="yellow"/>
          <w:u w:val="single"/>
        </w:rPr>
        <w:t>26/06/</w:t>
      </w:r>
      <w:r>
        <w:rPr>
          <w:highlight w:val="yellow"/>
          <w:u w:val="single"/>
        </w:rPr>
        <w:t>2024</w:t>
      </w:r>
      <w:r>
        <w:t xml:space="preserve">, onde constatou a realização das manutenções e melhorias e o estado de conservação das redes de distribuição primária e secundária, não verificando irregularidades significativas. No Anexo deste relatório constam fotos da visita apresentando pequenas irregularidades, relativo somente a necessidade da poda de galhos de árvores próximos as redes, que inclusive devem estar na previsão para o segundo semestre de </w:t>
      </w:r>
      <w:r>
        <w:rPr>
          <w:highlight w:val="yellow"/>
          <w:u w:val="single"/>
        </w:rPr>
        <w:t>2024</w:t>
      </w:r>
      <w:r>
        <w:t>.</w:t>
      </w:r>
    </w:p>
    <w:p/>
    <w:p>
      <w:pPr>
        <w:pStyle w:val="Ttulo8"/>
      </w:pPr>
      <w:r>
        <w:t>Interrupções na Rede de Energia Elétrica que Afetaram os Consumidores da Região</w:t>
      </w:r>
    </w:p>
    <w:p>
      <w:pPr>
        <w:pStyle w:val="SemEspaamento"/>
      </w:pPr>
      <w:r>
        <w:t>Pelos dados das interrupções de longa duração apresentados pela ENERGISA MS, referentes ao período de 2022 a 2025, a Tabela 2 mostra as causas que impactaram nas ocorrências não programadas.</w:t>
      </w:r>
    </w:p>
    <w:p/>
    <w:p>
      <w:r>
        <w:drawing>
          <wp:inline xmlns:a="http://schemas.openxmlformats.org/drawingml/2006/main" xmlns:pic="http://schemas.openxmlformats.org/drawingml/2006/picture">
            <wp:extent cx="5029200" cy="3771900"/>
            <wp:docPr id="2" name="Picture 2"/>
            <wp:cNvGraphicFramePr>
              <a:graphicFrameLocks noChangeAspect="1"/>
            </wp:cNvGraphicFramePr>
            <a:graphic>
              <a:graphicData uri="http://schemas.openxmlformats.org/drawingml/2006/picture">
                <pic:pic>
                  <pic:nvPicPr>
                    <pic:cNvPr id="0" name="figura1.png"/>
                    <pic:cNvPicPr/>
                  </pic:nvPicPr>
                  <pic:blipFill>
                    <a:blip r:embed="rId12"/>
                    <a:stretch>
                      <a:fillRect/>
                    </a:stretch>
                  </pic:blipFill>
                  <pic:spPr>
                    <a:xfrm>
                      <a:off x="0" y="0"/>
                      <a:ext cx="5029200" cy="3771900"/>
                    </a:xfrm>
                    <a:prstGeom prst="rect"/>
                  </pic:spPr>
                </pic:pic>
              </a:graphicData>
            </a:graphic>
          </wp:inline>
        </w:drawing>
      </w:r>
    </w:p>
    <w:p>
      <w:pPr>
        <w:pStyle w:val="Ttulo9"/>
        <w:jc w:val="center"/>
      </w:pPr>
      <w:r>
        <w:t>Tabela 2 - Dados das interrupções não programadas do período de 2022 a 2025</w:t>
        <w:br/>
      </w:r>
    </w:p>
    <w:p>
      <w:pPr>
        <w:pStyle w:val="SemEspaamento"/>
      </w:pPr>
      <w:r>
        <w:t xml:space="preserve">Como pode ser observado na tabela, dos </w:t>
      </w:r>
      <w:r>
        <w:rPr>
          <w:highlight w:val="yellow"/>
          <w:u w:val="single"/>
        </w:rPr>
        <w:t>5.581</w:t>
      </w:r>
      <w:r>
        <w:t xml:space="preserve"> registros de interrupções causadas por desligamentos não programados, as </w:t>
      </w:r>
      <w:r>
        <w:rPr>
          <w:highlight w:val="yellow"/>
          <w:u w:val="single"/>
        </w:rPr>
        <w:t>causas que impactaram nas ocorrências foram</w:t>
      </w:r>
      <w:r>
        <w:t>: 3.155 por Descarga Atmosférica, 1.663 por Ventos, 762 devido Árvore ou Vegetação e apenas uma ocorrência por Erosão.</w:t>
      </w:r>
    </w:p>
    <w:p/>
    <w:p>
      <w:pPr>
        <w:pStyle w:val="Ttulo8"/>
      </w:pPr>
      <w:r>
        <w:t>Tempo Médio de Atendimento às Ocorrências Emergenciais - TMAE</w:t>
      </w:r>
    </w:p>
    <w:p>
      <w:pPr>
        <w:pStyle w:val="SemEspaamento"/>
      </w:pPr>
      <w:r>
        <w:t xml:space="preserve">Foi constatado, no período de </w:t>
      </w:r>
      <w:r>
        <w:rPr>
          <w:highlight w:val="yellow"/>
          <w:u w:val="single"/>
        </w:rPr>
        <w:t>01/01/2021 a 30/04/2024</w:t>
      </w:r>
      <w:r>
        <w:t xml:space="preserve">, que os tempos de atendimento, desde a reclamação ou constatação da EMS da ocorrência até a restauração do fornecimento de energia elétrica, são motivo de preocupação, visto que, o indicador TMAE desse período é de </w:t>
      </w:r>
      <w:r>
        <w:rPr>
          <w:highlight w:val="yellow"/>
          <w:u w:val="single"/>
        </w:rPr>
        <w:t>12,66</w:t>
      </w:r>
      <w:r>
        <w:t xml:space="preserve"> horas.</w:t>
      </w:r>
    </w:p>
    <w:p/>
    <w:p>
      <w:pPr>
        <w:pStyle w:val="SemEspaamento"/>
      </w:pPr>
      <w:r>
        <w:t>Com relação aos tempos de atendimento total, desde o conhecimento/reclamação até a restauração, foi apurado que no ano de 2021 o tempo médio de atendimento a emergências foi de 16,33 horas, em 2022 foi de 10,51 horas, em 2023 foi de 11,66 horas e no período de janeiro a abril de 2024 foi de 10,95 horas, conforme a Figura 3.</w:t>
      </w:r>
    </w:p>
    <w:p/>
    <w:p>
      <w:pPr>
        <w:pStyle w:val="Ttulo9"/>
        <w:jc w:val="center"/>
      </w:pPr>
      <w:r>
        <w:t xml:space="preserve">Figura 2 - Valores anuais do TMAE (Tempo Médio de Atendimento a Emergências) em horas no período de 2021, 2022, 2023 e de janeiro a abril de 2024 </w:t>
        <w:br/>
      </w:r>
    </w:p>
    <w:p>
      <w:pPr>
        <w:pStyle w:val="SemEspaamento"/>
      </w:pPr>
      <w:r>
        <w:t>Considerando os critérios de fiscalização, tempos médios anuais de interrupção de energia superiores a 6 horas já são preocupantes. Em situação de alerta estão os tempos entre 6 e 12 horas, enquanto aqueles acima de 12 horas indicam irregularidade. Constata-se que os valores para a região se encontram em “situação de alarme.</w:t>
      </w:r>
    </w:p>
    <w:p/>
    <w:p>
      <w:pPr>
        <w:pStyle w:val="SemEspaamento"/>
      </w:pPr>
      <w:r>
        <w:t>Por mais que houve uma queda do indicador referente a 2021, os outros períodos demonstram valores elevados, e ao analisar o ano de 2024, percebe-se que a tendência é alcançar o mesmo patamar dos valores anteriores.</w:t>
      </w:r>
    </w:p>
    <w:p/>
    <w:p>
      <w:pPr>
        <w:pStyle w:val="SemEspaamento"/>
      </w:pPr>
      <w:r>
        <w:rPr>
          <w:highlight w:val="yellow"/>
          <w:u w:val="single"/>
        </w:rPr>
        <w:t>Neste período de 2023 a maio de 2024 ocorreram 336 interrupções com tempo de restabelecimento superior a 24 horas</w:t>
      </w:r>
      <w:r>
        <w:t>.</w:t>
      </w:r>
    </w:p>
    <w:p/>
    <w:p>
      <w:pPr>
        <w:pStyle w:val="SemEspaamento"/>
      </w:pPr>
      <w:r>
        <w:t>Na Figura 4 a seguir é demonstrado o tempo de atendimento e a quantidade de eventos não programados do total das interrupções.</w:t>
      </w:r>
    </w:p>
    <w:p/>
    <w:p>
      <w:pPr>
        <w:pStyle w:val="Ttulo9"/>
        <w:jc w:val="center"/>
      </w:pPr>
      <w:r>
        <w:t xml:space="preserve">Figura 3 - Número de interrupções relacionadas com a quantidade de horas sem energia no período de 2023 até abril de 2024 </w:t>
        <w:br/>
      </w:r>
    </w:p>
    <w:p>
      <w:pPr>
        <w:pStyle w:val="Ttulo8"/>
      </w:pPr>
      <w:r>
        <w:t>Pedidos de Ressarcimento de Danos Elétricos de Consumidores</w:t>
      </w:r>
    </w:p>
    <w:p>
      <w:pPr>
        <w:pStyle w:val="SemEspaamento"/>
      </w:pPr>
      <w:r>
        <w:t>Os pedidos de ressarcimento são referentes a queima de eletrodomésticos e equipamentos eletroeletrônicos.</w:t>
      </w:r>
    </w:p>
    <w:p/>
    <w:p>
      <w:pPr>
        <w:pStyle w:val="SemEspaamento"/>
      </w:pPr>
      <w:r>
        <w:t>Em atendimento a solicitação da AGEMS, a Energisa MS relacionou os pedidos de ressarcimento de danos elétricos dos consumidores do município, no período de 01/01/2021 a 31/05/2024.</w:t>
      </w:r>
    </w:p>
    <w:p/>
    <w:p>
      <w:pPr>
        <w:pStyle w:val="SemEspaamento"/>
      </w:pPr>
      <w:r>
        <w:t xml:space="preserve">Foi informado um total de </w:t>
      </w:r>
      <w:r>
        <w:rPr>
          <w:highlight w:val="yellow"/>
          <w:u w:val="single"/>
        </w:rPr>
        <w:t>45 pedidos sendo 4 procedentes e 41 improcedentes</w:t>
      </w:r>
      <w:r>
        <w:t>. Para os improcedentes, foi informado o motivo do indeferimento.</w:t>
      </w:r>
    </w:p>
    <w:p/>
    <w:p>
      <w:pPr>
        <w:pStyle w:val="SemEspaamento"/>
      </w:pPr>
      <w:r>
        <w:t>Portanto, os pedidos procedentes corresponderam somente a 8,88% do total.</w:t>
      </w:r>
    </w:p>
    <w:p/>
    <w:p>
      <w:pPr>
        <w:pStyle w:val="SemEspaamento"/>
      </w:pPr>
      <w:r>
        <w:t>Além disso, por conta da situação da distribuição de energia elétrica encontrada no Brasilândia, o promotor anexou ao ofício em questão, um abaixo assinado contendo 533 assinaturas com comentários a respeito da qualidade do serviço prestado pela concessionária.</w:t>
      </w:r>
    </w:p>
    <w:p/>
    <w:p>
      <w:pPr>
        <w:pStyle w:val="SemEspaamento"/>
      </w:pPr>
      <w:r>
        <w:t>A maior parte das reclamações estão voltadas para os seguintes temas:</w:t>
      </w:r>
    </w:p>
    <w:p/>
    <w:p>
      <w:pPr>
        <w:pStyle w:val="Ttulo7"/>
        <w:jc w:val="left"/>
      </w:pPr>
      <w:r>
        <w:t xml:space="preserve"> a. Continuidade;</w:t>
      </w:r>
    </w:p>
    <w:p>
      <w:pPr>
        <w:pStyle w:val="Ttulo7"/>
        <w:jc w:val="left"/>
      </w:pPr>
      <w:r>
        <w:t xml:space="preserve"> b. Danos/perda de eletrodomésticos e eletroeletrônicos;</w:t>
      </w:r>
    </w:p>
    <w:p>
      <w:pPr>
        <w:pStyle w:val="Ttulo7"/>
        <w:jc w:val="left"/>
      </w:pPr>
      <w:r>
        <w:t xml:space="preserve"> c. Queda de energia proveniente de intempéries climáticas;</w:t>
      </w:r>
    </w:p>
    <w:p>
      <w:pPr>
        <w:pStyle w:val="Ttulo7"/>
        <w:jc w:val="left"/>
      </w:pPr>
      <w:r>
        <w:t xml:space="preserve"> d. Demora na religação de energia;</w:t>
      </w:r>
    </w:p>
    <w:p>
      <w:pPr>
        <w:pStyle w:val="Ttulo7"/>
        <w:jc w:val="left"/>
      </w:pPr>
      <w:r>
        <w:t xml:space="preserve"> e. Atendimento do Call Center ineficiente;</w:t>
      </w:r>
    </w:p>
    <w:p/>
    <w:p>
      <w:pPr>
        <w:pStyle w:val="Ttulo8"/>
      </w:pPr>
      <w:r>
        <w:t>Problemas Relacionados ao Nível de Tensão (Precário e Crítico)</w:t>
      </w:r>
    </w:p>
    <w:p>
      <w:pPr>
        <w:pStyle w:val="SemEspaamento"/>
      </w:pPr>
      <w:r>
        <w:t>Quanto aos níveis de tensão, que representam a qualidade do produto entregue aos consumidores, a ANEEL determina que as concessionárias de energia elétrica mantenham um padrão de conformidade da tensão em regime permanente, estabelecendo os limites adequados, precários e críticos, os indicadores de controle, os critérios de medição e de registro e os prazos para compensação ao consumidor, caso as medições de tensão excedam os limites dos indicadores.</w:t>
      </w:r>
    </w:p>
    <w:p/>
    <w:p>
      <w:pPr>
        <w:pStyle w:val="SemEspaamento"/>
      </w:pPr>
      <w:r>
        <w:t>Os indicadores DRP (duração relativa da transgressão de tensão precária) e DRC (duração relativa da transgressão de tensão crítica) expressam o percentual do tempo em que determinada unidade consumidora permanece com tensão precária e com tensão crítica, conforme definido no Módulo 8 dos Procedimentos de Distribuição de Energia Elétrica no Sistema Elétrico Nacional – PRODIST.</w:t>
      </w:r>
    </w:p>
    <w:p/>
    <w:p>
      <w:pPr>
        <w:pStyle w:val="SemEspaamento"/>
      </w:pPr>
      <w:r>
        <w:t>Além dos pedidos de verificação dos níveis de tensão solicitados pelos consumidores (reclamações), a distribuidora deve efetuar também medições amostrais de tensão conforme critérios estabelecidos no Módulo 8 do PRODIST. O sorteio da amostra das unidades consumidoras de cada distribuidora para fins de medição será realizado pela ANEEL, no mês de outubro de cada ano, por meio de critério estatístico aleatório, a partir das Bases de Dados Geográficas das Distribuidoras - BDGD.</w:t>
      </w:r>
    </w:p>
    <w:p/>
    <w:p>
      <w:pPr>
        <w:pStyle w:val="SemEspaamento"/>
      </w:pPr>
      <w:r>
        <w:t>Caso as medições de tensão indiquem valor de DRP superior ao DRPlimite, ou valor de DRC superior ao DRClimite, estabelecidos no PRODIST (DRPLimite: 3%, e DRCLimite: 0,5%.), a distribuidora deve regularizar a tensão de atendimento, sem prejuízo do pagamento de compensação aos consumidores e das sanções cabíveis pela fiscalização da ANEEL.</w:t>
      </w:r>
    </w:p>
    <w:p/>
    <w:p>
      <w:pPr>
        <w:pStyle w:val="SemEspaamento"/>
      </w:pPr>
      <w:r>
        <w:t>A compensação deve ser mantida enquanto o(s) indicador(es) DRP e/ou DRC for(em) superior(es) aos limites estabelecidos. O valor da compensação deve ser creditado na fatura emitida no prazo máximo de 2 meses subsequentes ao mês civil de referência da última medição que constatou a violação.</w:t>
      </w:r>
    </w:p>
    <w:p/>
    <w:p>
      <w:pPr>
        <w:pStyle w:val="SemEspaamento"/>
      </w:pPr>
      <w:r>
        <w:t>Foi solicitado à Energisa Mato Grosso do Sul – EMS os pedidos de verificação de tensão dos consumidores do Brasilândia no período de</w:t>
      </w:r>
      <w:r>
        <w:rPr>
          <w:highlight w:val="yellow"/>
          <w:u w:val="single"/>
        </w:rPr>
        <w:t>janeiro de 2022 a junho de 2025</w:t>
      </w:r>
      <w:r>
        <w:t xml:space="preserve">, a relação das eventuais medições amostrais no referido bairro (se ocorreram) e aseventuais amostrais nas unidades consumidoras localizadas no </w:t>
      </w:r>
      <w:r>
        <w:rPr>
          <w:highlight w:val="yellow"/>
          <w:u w:val="single"/>
        </w:rPr>
        <w:t>Conjunto Elétrico</w:t>
      </w:r>
      <w:r>
        <w:t xml:space="preserve"> Água Clara.</w:t>
      </w:r>
    </w:p>
    <w:p/>
    <w:p>
      <w:pPr>
        <w:pStyle w:val="SemEspaamento"/>
      </w:pPr>
      <w:r>
        <w:t xml:space="preserve">A EMS informou que ocorreram </w:t>
      </w:r>
      <w:r>
        <w:rPr>
          <w:highlight w:val="yellow"/>
          <w:u w:val="single"/>
        </w:rPr>
        <w:t>16</w:t>
      </w:r>
      <w:r>
        <w:t xml:space="preserve"> pedidos de medição de tensão referente a reclamações de consumidores, no período de janeiro/2022 a junho/2025, sendo que em 15 os níveis de tensão estavam dentro dos limites adequados. Em uma das solicitações foi constatada violação de tensão, com a concessionária tomando as providências necessárias e o processo de regularização concluído e comprovado com a realização de medição de 7 dias.</w:t>
      </w:r>
    </w:p>
    <w:p/>
    <w:p>
      <w:pPr>
        <w:pStyle w:val="SemEspaamento"/>
      </w:pPr>
      <w:r>
        <w:t>Quanto as medições amostrais, a distribuidora informou um caso de um consumidor do bairro, com a medição efetuada e constatado nível de tensão adequado. Para as amostrais de demais consumidores do Conjunto Água Clara foram 5 casos, constatando níveis de tensão dentro dos padrões adequados em 4 casos e um caso fora dos limites adequados que está sendo regularizado pela EMS nos próximos dias.</w:t>
      </w:r>
    </w:p>
    <w:p/>
    <w:p>
      <w:pPr>
        <w:pStyle w:val="Ttulo8"/>
      </w:pPr>
      <w:r>
        <w:t>Nível de Carregamento dos Transformadores</w:t>
      </w:r>
    </w:p>
    <w:p>
      <w:pPr>
        <w:pStyle w:val="SemEspaamento"/>
      </w:pPr>
      <w:r>
        <w:t>A ENERGISA MS encaminhou a relação dos transformadores de distribuição que atendem as unidades consumidoras da região comas devidas potências em kVA e o carregamento percentual que permite verificar se há sobrecarga nos mesmos e eventualnecessidade de substituição. Os valores apresentados dos carregamentos foram calculados por modelo matemático queconsidera principalmente o pico de consumo dos consumidores nos últimos 12 meses.</w:t>
      </w:r>
    </w:p>
    <w:p/>
    <w:p>
      <w:pPr>
        <w:pStyle w:val="SemEspaamento"/>
      </w:pPr>
      <w:r>
        <w:t xml:space="preserve">Este modelo também considera uma margem aceitável de carregamento, sendo que o </w:t>
      </w:r>
      <w:r>
        <w:rPr>
          <w:highlight w:val="yellow"/>
          <w:u w:val="single"/>
        </w:rPr>
        <w:t>único</w:t>
      </w:r>
      <w:r>
        <w:t xml:space="preserve"> transformador que está com carregamento acima de 100%, </w:t>
      </w:r>
      <w:r>
        <w:rPr>
          <w:highlight w:val="yellow"/>
          <w:u w:val="single"/>
        </w:rPr>
        <w:t>TD 59295</w:t>
      </w:r>
      <w:r>
        <w:t xml:space="preserve"> de 10 kVA que apresenta 110,28% no alimentador CGS08, está dentro dessa margem e não há registros de problemas no circuito (aberturas) por sobrecarga.</w:t>
      </w:r>
    </w:p>
    <w:p/>
    <w:p>
      <w:pPr>
        <w:pStyle w:val="SemEspaamento"/>
      </w:pPr>
      <w:r>
        <w:t xml:space="preserve">Feito a inspeção do transformador </w:t>
      </w:r>
      <w:r>
        <w:rPr>
          <w:highlight w:val="yellow"/>
          <w:u w:val="single"/>
        </w:rPr>
        <w:t>TD 59295</w:t>
      </w:r>
      <w:r>
        <w:t xml:space="preserve"> “in loco” pelos fiscais da AGEMS, verificou não haver carga ou previsão de aumento que justifique um maior carregamento do mesmo. Não há registros de problemas no circuito (aberturas) por sobrecarga.</w:t>
      </w:r>
    </w:p>
    <w:p/>
    <w:p>
      <w:pPr>
        <w:pStyle w:val="Ttulo"/>
      </w:pPr>
      <w:r>
        <w:t>DA CONCLUSÃO</w:t>
      </w:r>
    </w:p>
    <w:p>
      <w:pPr>
        <w:pStyle w:val="SemEspaamento"/>
      </w:pPr>
      <w:r>
        <w:t>As questões encaminhadas pela Promotoria de Justiça da Comarca de Nova Alvorada do Sul/MS foram analisadas com base nas informações estabelecidas nos regulamentos e disponibilizadas no sítio Aneel, e nas fiscalizações realizadas pela AGEMS no Âmbito dos contratos de Metas SFE/AGEMS.</w:t>
      </w:r>
    </w:p>
    <w:p/>
    <w:p>
      <w:pPr>
        <w:pStyle w:val="SemEspaamento"/>
      </w:pPr>
      <w:r>
        <w:t>Para o município Nova Alvorado do Sul foram apresentados os gráficos dos conjuntos elétricos principais que compõe a região geoelétrica do município. Os limites para os indicadores se apresentam em curva descendente, resultante da exigência da ANEEL por melhora contínua da qualidade de Serviço. Dessa forma a cada ano que passa a distribuidora necessita envidar mais esforços para manter-se dentro dos limites regulado.</w:t>
      </w:r>
    </w:p>
    <w:p/>
    <w:p>
      <w:pPr>
        <w:pStyle w:val="SemEspaamento"/>
      </w:pPr>
      <w:r>
        <w:t>Referente ao indicador DEC, relativo a duração das interrupções, dos conjuntos analisados, para o conjunto Rio Brilhante as transgressões do limite foram observadas em todos os períodos de análise, porém, o gráfico apresenta uma queda dos valores anualizados apurados nos primeiros meses de 2024 próximo do limite estabelecido pela ANEEL. Para o conjunto Rio Brilhante Rural, houve transgressão somente no ano de 2021, mas desde então o indicador se estabeleceu dentro do limite.</w:t>
      </w:r>
    </w:p>
    <w:p/>
    <w:p>
      <w:pPr>
        <w:pStyle w:val="SemEspaamento"/>
      </w:pPr>
      <w:r>
        <w:t>Ressalta-se a necessidade de atenção da ENERGISA MS com relação ao conjunto Rio Brilhante, procurando manter programações constantes de manutenções por estrutura, podas de árvores e limpeza de faixa de servidão. Deve-se dar prioridade às manutenções preventivas nas duas linhas de distribuição em 34,5 kV de Rio Brilhante a Nova Alvorada do Sul.</w:t>
      </w:r>
    </w:p>
    <w:p/>
    <w:p>
      <w:pPr>
        <w:pStyle w:val="SemEspaamento"/>
      </w:pPr>
      <w:r>
        <w:t>Para o indicador FEC, relativo a quantidade de interrupções, os gráficos sinalizam valores apurados dentro das metas.</w:t>
      </w:r>
    </w:p>
    <w:p/>
    <w:p>
      <w:pPr>
        <w:pStyle w:val="SemEspaamento"/>
      </w:pPr>
      <w:r>
        <w:t>Com relação aos indicadores individuais, DIC, FIC e DMIC, a EMS vem realizando as compensações pelas ultrapassagens dos limites regulados. Os valores apurados dos limites individuais e as respectivas compensações tendem a diminuir com a melhora dos indicadores de continuidade coletivos (DEC e FEC).</w:t>
      </w:r>
    </w:p>
    <w:p/>
    <w:p>
      <w:pPr>
        <w:pStyle w:val="SemEspaamento"/>
      </w:pPr>
      <w:r>
        <w:t>A AGEMS, além das fiscalizações programadas nos contratos de metas com a ANEEL, realiza eventos em parceria com a Distribuidora Energisa para um público-alvo específico, obtendo apoio institucional para o plantio adequado, manejo e poda de árvores, atividades essenciais na redução de interrupções do fornecimento de energia e prevenção de acidentes, tendo realizado um evento em Dourados no dia 16 de maio de 2024 e estando programado para o dia 01 de agosto de 2024, em Amambai, destinado a representantes dos municípios do cone sul de Mato Grosso do Sul.</w:t>
      </w:r>
    </w:p>
    <w:p/>
    <w:p>
      <w:pPr>
        <w:pStyle w:val="SemEspaamento"/>
      </w:pPr>
      <w:r>
        <w:t>Por fim, no âmbito do Convênio de Cooperação com a ANEEL, a AGEMS iniciou em fevereiro de 2024 uma campanha de fiscalizações em subestações e alimentadores da Energisa MS que se estenderá ao longo deste ano de 2024 e serão contemplados os alimentadores com mais ocorrências de interrupção de energia.</w:t>
        <w:br/>
        <w:br/>
        <w:br/>
        <w:br/>
      </w:r>
    </w:p>
    <w:p/>
    <w:p>
      <w:pPr>
        <w:jc w:val="left"/>
      </w:pPr>
      <w:r>
        <w:rPr>
          <w:sz w:val="24"/>
        </w:rPr>
        <w:t>Campo Grande, 17/12/2025</w:t>
        <w:br/>
        <w:br/>
        <w:br/>
        <w:br/>
      </w:r>
    </w:p>
    <w:sectPr w:rsidR="0050431D" w:rsidRPr="0050431D" w:rsidSect="00A9337B">
      <w:headerReference w:type="default" r:id="rId8"/>
      <w:footerReference w:type="default" r:id="rId9"/>
      <w:pgSz w:w="11909" w:h="16834"/>
      <w:pgMar w:top="2268" w:right="1304" w:bottom="1701" w:left="232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1BA853" w14:textId="77777777" w:rsidR="00106E3C" w:rsidRDefault="00106E3C">
      <w:r>
        <w:separator/>
      </w:r>
    </w:p>
  </w:endnote>
  <w:endnote w:type="continuationSeparator" w:id="0">
    <w:p w14:paraId="4B2C11AD" w14:textId="77777777" w:rsidR="00106E3C" w:rsidRDefault="00106E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0351988"/>
      <w:docPartObj>
        <w:docPartGallery w:val="Page Numbers (Bottom of Page)"/>
        <w:docPartUnique/>
      </w:docPartObj>
    </w:sdtPr>
    <w:sdtEndPr/>
    <w:sdtContent>
      <w:p w14:paraId="03A549F9" w14:textId="6E892CBC" w:rsidR="002B18E9" w:rsidRDefault="002B18E9">
        <w:pPr>
          <w:pStyle w:val="Rodap"/>
          <w:jc w:val="right"/>
        </w:pPr>
        <w:r>
          <w:fldChar w:fldCharType="begin"/>
        </w:r>
        <w:r>
          <w:instrText>PAGE   \* MERGEFORMAT</w:instrText>
        </w:r>
        <w:r>
          <w:fldChar w:fldCharType="separate"/>
        </w:r>
        <w:r w:rsidR="00920FA2">
          <w:rPr>
            <w:noProof/>
          </w:rPr>
          <w:t>1</w:t>
        </w:r>
        <w:r>
          <w:fldChar w:fldCharType="end"/>
        </w:r>
      </w:p>
    </w:sdtContent>
  </w:sdt>
  <w:p w14:paraId="00BE092B" w14:textId="77777777" w:rsidR="002B18E9" w:rsidRDefault="002B18E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3B1F51" w14:textId="77777777" w:rsidR="00106E3C" w:rsidRDefault="00106E3C">
      <w:r>
        <w:separator/>
      </w:r>
    </w:p>
  </w:footnote>
  <w:footnote w:type="continuationSeparator" w:id="0">
    <w:p w14:paraId="266E66B3" w14:textId="77777777" w:rsidR="00106E3C" w:rsidRDefault="00106E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03" w14:textId="0E808ABC" w:rsidR="002B18E9" w:rsidRDefault="00106E3C">
    <w:r>
      <w:pict w14:anchorId="4EBA77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style="position:absolute;left:0;text-align:left;margin-left:0;margin-top:-113.4pt;width:595.3pt;height:841.8pt;z-index:-251658752;mso-position-horizontal:center;mso-position-horizontal-relative:margin;mso-position-vertical-relative:margin">
          <v:imagedata r:id="rId1" o:title="image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012F2"/>
    <w:multiLevelType w:val="hybridMultilevel"/>
    <w:tmpl w:val="27A4117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6977690"/>
    <w:multiLevelType w:val="multilevel"/>
    <w:tmpl w:val="42F8928E"/>
    <w:styleLink w:val="Estilo1"/>
    <w:lvl w:ilvl="0">
      <w:start w:val="1"/>
      <w:numFmt w:val="upperRoman"/>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6F1A80"/>
    <w:multiLevelType w:val="hybridMultilevel"/>
    <w:tmpl w:val="CA106414"/>
    <w:lvl w:ilvl="0" w:tplc="227A04D8">
      <w:start w:val="1"/>
      <w:numFmt w:val="decimal"/>
      <w:pStyle w:val="SemEspaamento"/>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0E13AA4"/>
    <w:multiLevelType w:val="hybridMultilevel"/>
    <w:tmpl w:val="E7B80AAC"/>
    <w:lvl w:ilvl="0" w:tplc="6CA6B138">
      <w:start w:val="1"/>
      <w:numFmt w:val="upperRoman"/>
      <w:lvlText w:val="%1.2"/>
      <w:lvlJc w:val="left"/>
      <w:pPr>
        <w:ind w:left="2138" w:hanging="360"/>
      </w:pPr>
      <w:rPr>
        <w:rFonts w:hint="default"/>
      </w:rPr>
    </w:lvl>
    <w:lvl w:ilvl="1" w:tplc="04160019" w:tentative="1">
      <w:start w:val="1"/>
      <w:numFmt w:val="lowerLetter"/>
      <w:lvlText w:val="%2."/>
      <w:lvlJc w:val="left"/>
      <w:pPr>
        <w:ind w:left="2858" w:hanging="360"/>
      </w:pPr>
    </w:lvl>
    <w:lvl w:ilvl="2" w:tplc="0416001B" w:tentative="1">
      <w:start w:val="1"/>
      <w:numFmt w:val="lowerRoman"/>
      <w:lvlText w:val="%3."/>
      <w:lvlJc w:val="right"/>
      <w:pPr>
        <w:ind w:left="3578" w:hanging="180"/>
      </w:pPr>
    </w:lvl>
    <w:lvl w:ilvl="3" w:tplc="0416000F" w:tentative="1">
      <w:start w:val="1"/>
      <w:numFmt w:val="decimal"/>
      <w:lvlText w:val="%4."/>
      <w:lvlJc w:val="left"/>
      <w:pPr>
        <w:ind w:left="4298" w:hanging="360"/>
      </w:pPr>
    </w:lvl>
    <w:lvl w:ilvl="4" w:tplc="04160019" w:tentative="1">
      <w:start w:val="1"/>
      <w:numFmt w:val="lowerLetter"/>
      <w:lvlText w:val="%5."/>
      <w:lvlJc w:val="left"/>
      <w:pPr>
        <w:ind w:left="5018" w:hanging="360"/>
      </w:pPr>
    </w:lvl>
    <w:lvl w:ilvl="5" w:tplc="0416001B" w:tentative="1">
      <w:start w:val="1"/>
      <w:numFmt w:val="lowerRoman"/>
      <w:lvlText w:val="%6."/>
      <w:lvlJc w:val="right"/>
      <w:pPr>
        <w:ind w:left="5738" w:hanging="180"/>
      </w:pPr>
    </w:lvl>
    <w:lvl w:ilvl="6" w:tplc="0416000F" w:tentative="1">
      <w:start w:val="1"/>
      <w:numFmt w:val="decimal"/>
      <w:lvlText w:val="%7."/>
      <w:lvlJc w:val="left"/>
      <w:pPr>
        <w:ind w:left="6458" w:hanging="360"/>
      </w:pPr>
    </w:lvl>
    <w:lvl w:ilvl="7" w:tplc="04160019" w:tentative="1">
      <w:start w:val="1"/>
      <w:numFmt w:val="lowerLetter"/>
      <w:lvlText w:val="%8."/>
      <w:lvlJc w:val="left"/>
      <w:pPr>
        <w:ind w:left="7178" w:hanging="360"/>
      </w:pPr>
    </w:lvl>
    <w:lvl w:ilvl="8" w:tplc="0416001B" w:tentative="1">
      <w:start w:val="1"/>
      <w:numFmt w:val="lowerRoman"/>
      <w:lvlText w:val="%9."/>
      <w:lvlJc w:val="right"/>
      <w:pPr>
        <w:ind w:left="7898" w:hanging="180"/>
      </w:pPr>
    </w:lvl>
  </w:abstractNum>
  <w:abstractNum w:abstractNumId="4" w15:restartNumberingAfterBreak="0">
    <w:nsid w:val="17F12901"/>
    <w:multiLevelType w:val="hybridMultilevel"/>
    <w:tmpl w:val="D324AB52"/>
    <w:lvl w:ilvl="0" w:tplc="15E69FFA">
      <w:start w:val="1"/>
      <w:numFmt w:val="decimal"/>
      <w:pStyle w:val="Ttulo8"/>
      <w:lvlText w:val="III.%1"/>
      <w:lvlJc w:val="left"/>
      <w:pPr>
        <w:ind w:left="1069" w:hanging="360"/>
      </w:pPr>
      <w:rPr>
        <w:rFonts w:hint="default"/>
      </w:rPr>
    </w:lvl>
    <w:lvl w:ilvl="1" w:tplc="04160019" w:tentative="1">
      <w:start w:val="1"/>
      <w:numFmt w:val="lowerLetter"/>
      <w:lvlText w:val="%2."/>
      <w:lvlJc w:val="left"/>
      <w:pPr>
        <w:ind w:left="3087" w:hanging="360"/>
      </w:pPr>
    </w:lvl>
    <w:lvl w:ilvl="2" w:tplc="0416001B" w:tentative="1">
      <w:start w:val="1"/>
      <w:numFmt w:val="lowerRoman"/>
      <w:lvlText w:val="%3."/>
      <w:lvlJc w:val="right"/>
      <w:pPr>
        <w:ind w:left="3807" w:hanging="180"/>
      </w:pPr>
    </w:lvl>
    <w:lvl w:ilvl="3" w:tplc="0416000F" w:tentative="1">
      <w:start w:val="1"/>
      <w:numFmt w:val="decimal"/>
      <w:lvlText w:val="%4."/>
      <w:lvlJc w:val="left"/>
      <w:pPr>
        <w:ind w:left="4527" w:hanging="360"/>
      </w:pPr>
    </w:lvl>
    <w:lvl w:ilvl="4" w:tplc="04160019" w:tentative="1">
      <w:start w:val="1"/>
      <w:numFmt w:val="lowerLetter"/>
      <w:lvlText w:val="%5."/>
      <w:lvlJc w:val="left"/>
      <w:pPr>
        <w:ind w:left="5247" w:hanging="360"/>
      </w:pPr>
    </w:lvl>
    <w:lvl w:ilvl="5" w:tplc="0416001B" w:tentative="1">
      <w:start w:val="1"/>
      <w:numFmt w:val="lowerRoman"/>
      <w:lvlText w:val="%6."/>
      <w:lvlJc w:val="right"/>
      <w:pPr>
        <w:ind w:left="5967" w:hanging="180"/>
      </w:pPr>
    </w:lvl>
    <w:lvl w:ilvl="6" w:tplc="0416000F" w:tentative="1">
      <w:start w:val="1"/>
      <w:numFmt w:val="decimal"/>
      <w:lvlText w:val="%7."/>
      <w:lvlJc w:val="left"/>
      <w:pPr>
        <w:ind w:left="6687" w:hanging="360"/>
      </w:pPr>
    </w:lvl>
    <w:lvl w:ilvl="7" w:tplc="04160019" w:tentative="1">
      <w:start w:val="1"/>
      <w:numFmt w:val="lowerLetter"/>
      <w:lvlText w:val="%8."/>
      <w:lvlJc w:val="left"/>
      <w:pPr>
        <w:ind w:left="7407" w:hanging="360"/>
      </w:pPr>
    </w:lvl>
    <w:lvl w:ilvl="8" w:tplc="0416001B" w:tentative="1">
      <w:start w:val="1"/>
      <w:numFmt w:val="lowerRoman"/>
      <w:lvlText w:val="%9."/>
      <w:lvlJc w:val="right"/>
      <w:pPr>
        <w:ind w:left="8127" w:hanging="180"/>
      </w:pPr>
    </w:lvl>
  </w:abstractNum>
  <w:abstractNum w:abstractNumId="5" w15:restartNumberingAfterBreak="0">
    <w:nsid w:val="34556EE3"/>
    <w:multiLevelType w:val="hybridMultilevel"/>
    <w:tmpl w:val="30D4AC92"/>
    <w:lvl w:ilvl="0" w:tplc="F6BAD252">
      <w:start w:val="1"/>
      <w:numFmt w:val="decimal"/>
      <w:lvlText w:val="%1."/>
      <w:lvlJc w:val="left"/>
      <w:pPr>
        <w:ind w:left="360" w:hanging="360"/>
      </w:pPr>
      <w:rPr>
        <w:rFonts w:ascii="Arial Narrow" w:hAnsi="Arial Narrow" w:hint="default"/>
        <w:b w:val="0"/>
        <w:color w:val="auto"/>
      </w:rPr>
    </w:lvl>
    <w:lvl w:ilvl="1" w:tplc="01463BEC">
      <w:start w:val="1"/>
      <w:numFmt w:val="lowerLetter"/>
      <w:lvlText w:val="%2."/>
      <w:lvlJc w:val="left"/>
      <w:pPr>
        <w:ind w:left="1080" w:hanging="360"/>
      </w:pPr>
      <w:rPr>
        <w:color w:val="auto"/>
      </w:rPr>
    </w:lvl>
    <w:lvl w:ilvl="2" w:tplc="04160019">
      <w:start w:val="1"/>
      <w:numFmt w:val="lowerLetter"/>
      <w:lvlText w:val="%3."/>
      <w:lvlJc w:val="left"/>
      <w:pPr>
        <w:ind w:left="1800" w:hanging="180"/>
      </w:pPr>
      <w:rPr>
        <w:rFonts w:hint="default"/>
      </w:r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808AC8FC">
      <w:start w:val="1"/>
      <w:numFmt w:val="lowerLetter"/>
      <w:lvlText w:val="%6)"/>
      <w:lvlJc w:val="left"/>
      <w:pPr>
        <w:ind w:left="4140" w:hanging="360"/>
      </w:pPr>
      <w:rPr>
        <w:rFonts w:hint="default"/>
      </w:rPr>
    </w:lvl>
    <w:lvl w:ilvl="6" w:tplc="0416000F">
      <w:start w:val="1"/>
      <w:numFmt w:val="decimal"/>
      <w:lvlText w:val="%7."/>
      <w:lvlJc w:val="left"/>
      <w:pPr>
        <w:ind w:left="4680" w:hanging="360"/>
      </w:pPr>
    </w:lvl>
    <w:lvl w:ilvl="7" w:tplc="04160019">
      <w:start w:val="1"/>
      <w:numFmt w:val="lowerLetter"/>
      <w:lvlText w:val="%8."/>
      <w:lvlJc w:val="left"/>
      <w:pPr>
        <w:ind w:left="5400" w:hanging="360"/>
      </w:pPr>
    </w:lvl>
    <w:lvl w:ilvl="8" w:tplc="0416001B">
      <w:start w:val="1"/>
      <w:numFmt w:val="lowerRoman"/>
      <w:lvlText w:val="%9."/>
      <w:lvlJc w:val="right"/>
      <w:pPr>
        <w:ind w:left="6120" w:hanging="180"/>
      </w:pPr>
    </w:lvl>
  </w:abstractNum>
  <w:abstractNum w:abstractNumId="6" w15:restartNumberingAfterBreak="0">
    <w:nsid w:val="3A70131F"/>
    <w:multiLevelType w:val="multilevel"/>
    <w:tmpl w:val="42F8928E"/>
    <w:numStyleLink w:val="Estilo1"/>
  </w:abstractNum>
  <w:abstractNum w:abstractNumId="7" w15:restartNumberingAfterBreak="0">
    <w:nsid w:val="400656C8"/>
    <w:multiLevelType w:val="multilevel"/>
    <w:tmpl w:val="0E8C8FDE"/>
    <w:lvl w:ilvl="0">
      <w:start w:val="1"/>
      <w:numFmt w:val="upperRoman"/>
      <w:lvlText w:val="%1.1"/>
      <w:lvlJc w:val="left"/>
      <w:pPr>
        <w:ind w:left="1287" w:hanging="360"/>
      </w:pPr>
      <w:rPr>
        <w:rFonts w:hint="default"/>
      </w:rPr>
    </w:lvl>
    <w:lvl w:ilvl="1">
      <w:start w:val="1"/>
      <w:numFmt w:val="decimal"/>
      <w:lvlText w:val="%1.%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8" w15:restartNumberingAfterBreak="0">
    <w:nsid w:val="59C52C70"/>
    <w:multiLevelType w:val="hybridMultilevel"/>
    <w:tmpl w:val="EA4647D0"/>
    <w:lvl w:ilvl="0" w:tplc="7A7C8D92">
      <w:start w:val="1"/>
      <w:numFmt w:val="upperRoman"/>
      <w:pStyle w:val="Ttulo"/>
      <w:lvlText w:val="%1."/>
      <w:lvlJc w:val="left"/>
      <w:pPr>
        <w:ind w:left="1287" w:hanging="360"/>
      </w:pPr>
      <w:rPr>
        <w:rFonts w:hint="default"/>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num w:numId="1">
    <w:abstractNumId w:val="1"/>
  </w:num>
  <w:num w:numId="2">
    <w:abstractNumId w:val="3"/>
  </w:num>
  <w:num w:numId="3">
    <w:abstractNumId w:val="8"/>
  </w:num>
  <w:num w:numId="4">
    <w:abstractNumId w:val="7"/>
  </w:num>
  <w:num w:numId="5">
    <w:abstractNumId w:val="5"/>
  </w:num>
  <w:num w:numId="6">
    <w:abstractNumId w:val="0"/>
  </w:num>
  <w:num w:numId="7">
    <w:abstractNumId w:val="2"/>
  </w:num>
  <w:num w:numId="8">
    <w:abstractNumId w:val="6"/>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6" w:nlCheck="1" w:checkStyle="0"/>
  <w:activeWritingStyle w:appName="MSWord" w:lang="pt-BR" w:vendorID="64" w:dllVersion="4096" w:nlCheck="1" w:checkStyle="0"/>
  <w:activeWritingStyle w:appName="MSWord" w:lang="pt-BR" w:vendorID="64" w:dllVersion="131078" w:nlCheck="1" w:checkStyle="0"/>
  <w:proofState w:spelling="clean" w:grammar="clean"/>
  <w:defaultTabStop w:val="709"/>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70E9"/>
    <w:rsid w:val="00001CA1"/>
    <w:rsid w:val="00002C7C"/>
    <w:rsid w:val="00002C81"/>
    <w:rsid w:val="000036FD"/>
    <w:rsid w:val="00004561"/>
    <w:rsid w:val="00005486"/>
    <w:rsid w:val="00006A44"/>
    <w:rsid w:val="00007703"/>
    <w:rsid w:val="00007A76"/>
    <w:rsid w:val="00012CEB"/>
    <w:rsid w:val="0001376A"/>
    <w:rsid w:val="000144CA"/>
    <w:rsid w:val="00014E9A"/>
    <w:rsid w:val="000207B5"/>
    <w:rsid w:val="00021EA2"/>
    <w:rsid w:val="00022395"/>
    <w:rsid w:val="0002281A"/>
    <w:rsid w:val="00023031"/>
    <w:rsid w:val="0002547A"/>
    <w:rsid w:val="00025D95"/>
    <w:rsid w:val="00026418"/>
    <w:rsid w:val="00027330"/>
    <w:rsid w:val="00030EE4"/>
    <w:rsid w:val="00031797"/>
    <w:rsid w:val="00031A57"/>
    <w:rsid w:val="00032AAE"/>
    <w:rsid w:val="0003342D"/>
    <w:rsid w:val="0003351A"/>
    <w:rsid w:val="000342DB"/>
    <w:rsid w:val="000344EF"/>
    <w:rsid w:val="00034F7E"/>
    <w:rsid w:val="00035595"/>
    <w:rsid w:val="00035827"/>
    <w:rsid w:val="00035AAE"/>
    <w:rsid w:val="00036959"/>
    <w:rsid w:val="00040608"/>
    <w:rsid w:val="00042281"/>
    <w:rsid w:val="000432D0"/>
    <w:rsid w:val="000457E7"/>
    <w:rsid w:val="0004623F"/>
    <w:rsid w:val="00046490"/>
    <w:rsid w:val="000467C4"/>
    <w:rsid w:val="00047519"/>
    <w:rsid w:val="000479DA"/>
    <w:rsid w:val="000500B5"/>
    <w:rsid w:val="00050910"/>
    <w:rsid w:val="00050C2C"/>
    <w:rsid w:val="00051D0B"/>
    <w:rsid w:val="000521BE"/>
    <w:rsid w:val="00052C32"/>
    <w:rsid w:val="000533E9"/>
    <w:rsid w:val="000534AA"/>
    <w:rsid w:val="000535FE"/>
    <w:rsid w:val="00053B77"/>
    <w:rsid w:val="00057B0C"/>
    <w:rsid w:val="00057C4C"/>
    <w:rsid w:val="000612D1"/>
    <w:rsid w:val="00062AA4"/>
    <w:rsid w:val="00062E74"/>
    <w:rsid w:val="00063BDD"/>
    <w:rsid w:val="00064345"/>
    <w:rsid w:val="00064565"/>
    <w:rsid w:val="00064703"/>
    <w:rsid w:val="000657E5"/>
    <w:rsid w:val="000665CF"/>
    <w:rsid w:val="00066E34"/>
    <w:rsid w:val="00067D06"/>
    <w:rsid w:val="000729BE"/>
    <w:rsid w:val="000738AE"/>
    <w:rsid w:val="000743D5"/>
    <w:rsid w:val="000757E3"/>
    <w:rsid w:val="00075B8D"/>
    <w:rsid w:val="0007601A"/>
    <w:rsid w:val="00082789"/>
    <w:rsid w:val="0008339E"/>
    <w:rsid w:val="000842CF"/>
    <w:rsid w:val="00084818"/>
    <w:rsid w:val="00084DCA"/>
    <w:rsid w:val="000864C7"/>
    <w:rsid w:val="0008659F"/>
    <w:rsid w:val="00086FED"/>
    <w:rsid w:val="000872EA"/>
    <w:rsid w:val="00090C89"/>
    <w:rsid w:val="000911EE"/>
    <w:rsid w:val="000914E0"/>
    <w:rsid w:val="00091C1E"/>
    <w:rsid w:val="00091D07"/>
    <w:rsid w:val="00092B89"/>
    <w:rsid w:val="000942F6"/>
    <w:rsid w:val="00095DED"/>
    <w:rsid w:val="00095E0A"/>
    <w:rsid w:val="00096DD2"/>
    <w:rsid w:val="00097CD1"/>
    <w:rsid w:val="000A11F9"/>
    <w:rsid w:val="000A1E7F"/>
    <w:rsid w:val="000A1F70"/>
    <w:rsid w:val="000A3600"/>
    <w:rsid w:val="000B02FB"/>
    <w:rsid w:val="000B0383"/>
    <w:rsid w:val="000B11FE"/>
    <w:rsid w:val="000B12B3"/>
    <w:rsid w:val="000B2D52"/>
    <w:rsid w:val="000B3579"/>
    <w:rsid w:val="000B3832"/>
    <w:rsid w:val="000B3FDB"/>
    <w:rsid w:val="000B4C4F"/>
    <w:rsid w:val="000B519C"/>
    <w:rsid w:val="000B5BE8"/>
    <w:rsid w:val="000B618F"/>
    <w:rsid w:val="000B632A"/>
    <w:rsid w:val="000B741B"/>
    <w:rsid w:val="000B74D1"/>
    <w:rsid w:val="000B7DB9"/>
    <w:rsid w:val="000C0456"/>
    <w:rsid w:val="000C07B3"/>
    <w:rsid w:val="000C1D73"/>
    <w:rsid w:val="000C3EFE"/>
    <w:rsid w:val="000C4C49"/>
    <w:rsid w:val="000C62B8"/>
    <w:rsid w:val="000C6437"/>
    <w:rsid w:val="000D2121"/>
    <w:rsid w:val="000D321B"/>
    <w:rsid w:val="000D378E"/>
    <w:rsid w:val="000D4BDD"/>
    <w:rsid w:val="000D5FD9"/>
    <w:rsid w:val="000D6CC1"/>
    <w:rsid w:val="000D72F4"/>
    <w:rsid w:val="000D754D"/>
    <w:rsid w:val="000E1067"/>
    <w:rsid w:val="000E3C6B"/>
    <w:rsid w:val="000E4580"/>
    <w:rsid w:val="000E515A"/>
    <w:rsid w:val="000E59A2"/>
    <w:rsid w:val="000E5FBD"/>
    <w:rsid w:val="000E6518"/>
    <w:rsid w:val="000E79F2"/>
    <w:rsid w:val="000F057F"/>
    <w:rsid w:val="000F12FC"/>
    <w:rsid w:val="000F147E"/>
    <w:rsid w:val="000F1F4B"/>
    <w:rsid w:val="000F215F"/>
    <w:rsid w:val="000F332F"/>
    <w:rsid w:val="000F3C11"/>
    <w:rsid w:val="000F4532"/>
    <w:rsid w:val="000F4B57"/>
    <w:rsid w:val="000F5238"/>
    <w:rsid w:val="000F5D78"/>
    <w:rsid w:val="000F69CE"/>
    <w:rsid w:val="000F78C2"/>
    <w:rsid w:val="001012B5"/>
    <w:rsid w:val="00101AD0"/>
    <w:rsid w:val="00106E3C"/>
    <w:rsid w:val="00110F3B"/>
    <w:rsid w:val="0011196C"/>
    <w:rsid w:val="00112430"/>
    <w:rsid w:val="00112FD5"/>
    <w:rsid w:val="00112FF7"/>
    <w:rsid w:val="001134AC"/>
    <w:rsid w:val="00113683"/>
    <w:rsid w:val="00115CFC"/>
    <w:rsid w:val="001172B0"/>
    <w:rsid w:val="001200BD"/>
    <w:rsid w:val="001227B3"/>
    <w:rsid w:val="001235F5"/>
    <w:rsid w:val="00126014"/>
    <w:rsid w:val="00126F3C"/>
    <w:rsid w:val="0012740D"/>
    <w:rsid w:val="001275D5"/>
    <w:rsid w:val="0013204F"/>
    <w:rsid w:val="001406A8"/>
    <w:rsid w:val="00141B95"/>
    <w:rsid w:val="0014225A"/>
    <w:rsid w:val="0014308C"/>
    <w:rsid w:val="001444FD"/>
    <w:rsid w:val="00144A5F"/>
    <w:rsid w:val="0014521B"/>
    <w:rsid w:val="001469C6"/>
    <w:rsid w:val="00146A37"/>
    <w:rsid w:val="00150129"/>
    <w:rsid w:val="00151B28"/>
    <w:rsid w:val="00154E59"/>
    <w:rsid w:val="0015748D"/>
    <w:rsid w:val="00157E13"/>
    <w:rsid w:val="0016050C"/>
    <w:rsid w:val="00161961"/>
    <w:rsid w:val="00162193"/>
    <w:rsid w:val="001623FB"/>
    <w:rsid w:val="00162D84"/>
    <w:rsid w:val="00164F15"/>
    <w:rsid w:val="00166865"/>
    <w:rsid w:val="001673F7"/>
    <w:rsid w:val="001679E3"/>
    <w:rsid w:val="00171227"/>
    <w:rsid w:val="001732EB"/>
    <w:rsid w:val="00174845"/>
    <w:rsid w:val="00174CF9"/>
    <w:rsid w:val="00174FFC"/>
    <w:rsid w:val="001773E9"/>
    <w:rsid w:val="0018014E"/>
    <w:rsid w:val="0018055D"/>
    <w:rsid w:val="00180CD7"/>
    <w:rsid w:val="0018325A"/>
    <w:rsid w:val="001837B7"/>
    <w:rsid w:val="00183E2F"/>
    <w:rsid w:val="00183F4A"/>
    <w:rsid w:val="001854D9"/>
    <w:rsid w:val="00192F8A"/>
    <w:rsid w:val="00193235"/>
    <w:rsid w:val="00193DBF"/>
    <w:rsid w:val="001950ED"/>
    <w:rsid w:val="00195C0D"/>
    <w:rsid w:val="00196397"/>
    <w:rsid w:val="001A0200"/>
    <w:rsid w:val="001A175A"/>
    <w:rsid w:val="001A256A"/>
    <w:rsid w:val="001A3877"/>
    <w:rsid w:val="001A3F1A"/>
    <w:rsid w:val="001A5A14"/>
    <w:rsid w:val="001A5F5C"/>
    <w:rsid w:val="001A6DE3"/>
    <w:rsid w:val="001A7BF7"/>
    <w:rsid w:val="001B0E82"/>
    <w:rsid w:val="001B1AA9"/>
    <w:rsid w:val="001B21B8"/>
    <w:rsid w:val="001B2E87"/>
    <w:rsid w:val="001B449C"/>
    <w:rsid w:val="001B55BE"/>
    <w:rsid w:val="001B6A73"/>
    <w:rsid w:val="001C0B1C"/>
    <w:rsid w:val="001C2324"/>
    <w:rsid w:val="001C3776"/>
    <w:rsid w:val="001C3CB5"/>
    <w:rsid w:val="001C5C5D"/>
    <w:rsid w:val="001C651F"/>
    <w:rsid w:val="001C6B0C"/>
    <w:rsid w:val="001C70E9"/>
    <w:rsid w:val="001D204F"/>
    <w:rsid w:val="001D223D"/>
    <w:rsid w:val="001D2305"/>
    <w:rsid w:val="001D45F3"/>
    <w:rsid w:val="001D4CD2"/>
    <w:rsid w:val="001D5AEA"/>
    <w:rsid w:val="001E042B"/>
    <w:rsid w:val="001E1594"/>
    <w:rsid w:val="001E1933"/>
    <w:rsid w:val="001E2AC2"/>
    <w:rsid w:val="001E3B8D"/>
    <w:rsid w:val="001E40E6"/>
    <w:rsid w:val="001E6B1F"/>
    <w:rsid w:val="001E6E66"/>
    <w:rsid w:val="001E702B"/>
    <w:rsid w:val="001E7106"/>
    <w:rsid w:val="001F12AF"/>
    <w:rsid w:val="001F1489"/>
    <w:rsid w:val="001F2C3A"/>
    <w:rsid w:val="001F2EE5"/>
    <w:rsid w:val="001F45D4"/>
    <w:rsid w:val="001F47B4"/>
    <w:rsid w:val="001F5A53"/>
    <w:rsid w:val="001F6313"/>
    <w:rsid w:val="001F67EE"/>
    <w:rsid w:val="001F7B61"/>
    <w:rsid w:val="002008EE"/>
    <w:rsid w:val="00201534"/>
    <w:rsid w:val="002020F1"/>
    <w:rsid w:val="0020295B"/>
    <w:rsid w:val="00205130"/>
    <w:rsid w:val="00205227"/>
    <w:rsid w:val="0021059F"/>
    <w:rsid w:val="002106F5"/>
    <w:rsid w:val="00210B78"/>
    <w:rsid w:val="00212BE2"/>
    <w:rsid w:val="00213972"/>
    <w:rsid w:val="00213D4A"/>
    <w:rsid w:val="002145EF"/>
    <w:rsid w:val="00215CB5"/>
    <w:rsid w:val="00221069"/>
    <w:rsid w:val="00221D78"/>
    <w:rsid w:val="00222EA5"/>
    <w:rsid w:val="00223414"/>
    <w:rsid w:val="00223974"/>
    <w:rsid w:val="00224533"/>
    <w:rsid w:val="0022647C"/>
    <w:rsid w:val="00227105"/>
    <w:rsid w:val="00227317"/>
    <w:rsid w:val="002300A7"/>
    <w:rsid w:val="0023051B"/>
    <w:rsid w:val="00230FEF"/>
    <w:rsid w:val="0023117A"/>
    <w:rsid w:val="0023378D"/>
    <w:rsid w:val="00234A7A"/>
    <w:rsid w:val="00234F65"/>
    <w:rsid w:val="002367B3"/>
    <w:rsid w:val="00236B6E"/>
    <w:rsid w:val="002372D1"/>
    <w:rsid w:val="00240839"/>
    <w:rsid w:val="00242533"/>
    <w:rsid w:val="00243800"/>
    <w:rsid w:val="00244395"/>
    <w:rsid w:val="00245194"/>
    <w:rsid w:val="002467B0"/>
    <w:rsid w:val="00246A7F"/>
    <w:rsid w:val="00246B18"/>
    <w:rsid w:val="00246D0B"/>
    <w:rsid w:val="00247890"/>
    <w:rsid w:val="00247B88"/>
    <w:rsid w:val="00247D22"/>
    <w:rsid w:val="00247ED0"/>
    <w:rsid w:val="00250BD7"/>
    <w:rsid w:val="00251C68"/>
    <w:rsid w:val="00252336"/>
    <w:rsid w:val="002541FF"/>
    <w:rsid w:val="0025512F"/>
    <w:rsid w:val="002551DF"/>
    <w:rsid w:val="0025524F"/>
    <w:rsid w:val="00257255"/>
    <w:rsid w:val="00260DB5"/>
    <w:rsid w:val="00260FA9"/>
    <w:rsid w:val="00262340"/>
    <w:rsid w:val="00262C67"/>
    <w:rsid w:val="0026354D"/>
    <w:rsid w:val="002639FE"/>
    <w:rsid w:val="00264039"/>
    <w:rsid w:val="00264FD7"/>
    <w:rsid w:val="00265398"/>
    <w:rsid w:val="002657C8"/>
    <w:rsid w:val="00265AD3"/>
    <w:rsid w:val="00266496"/>
    <w:rsid w:val="002669BC"/>
    <w:rsid w:val="00270BAB"/>
    <w:rsid w:val="00270E48"/>
    <w:rsid w:val="00272688"/>
    <w:rsid w:val="00275765"/>
    <w:rsid w:val="002764B6"/>
    <w:rsid w:val="002815EA"/>
    <w:rsid w:val="00281642"/>
    <w:rsid w:val="002827B0"/>
    <w:rsid w:val="0028316C"/>
    <w:rsid w:val="0028569E"/>
    <w:rsid w:val="00286239"/>
    <w:rsid w:val="0028655D"/>
    <w:rsid w:val="00286798"/>
    <w:rsid w:val="00286A29"/>
    <w:rsid w:val="00286A5D"/>
    <w:rsid w:val="00286BEC"/>
    <w:rsid w:val="00292DBC"/>
    <w:rsid w:val="00293EDC"/>
    <w:rsid w:val="00294DA1"/>
    <w:rsid w:val="002968C7"/>
    <w:rsid w:val="002A0B61"/>
    <w:rsid w:val="002A106D"/>
    <w:rsid w:val="002A2190"/>
    <w:rsid w:val="002A261D"/>
    <w:rsid w:val="002A4010"/>
    <w:rsid w:val="002A41A5"/>
    <w:rsid w:val="002A483B"/>
    <w:rsid w:val="002A4BCD"/>
    <w:rsid w:val="002A5366"/>
    <w:rsid w:val="002A5930"/>
    <w:rsid w:val="002A7554"/>
    <w:rsid w:val="002B1745"/>
    <w:rsid w:val="002B18E9"/>
    <w:rsid w:val="002B3140"/>
    <w:rsid w:val="002B5385"/>
    <w:rsid w:val="002B5BDD"/>
    <w:rsid w:val="002C0658"/>
    <w:rsid w:val="002C18D3"/>
    <w:rsid w:val="002C2269"/>
    <w:rsid w:val="002C380C"/>
    <w:rsid w:val="002C38AA"/>
    <w:rsid w:val="002C557A"/>
    <w:rsid w:val="002C5679"/>
    <w:rsid w:val="002C5847"/>
    <w:rsid w:val="002C6415"/>
    <w:rsid w:val="002C6A7F"/>
    <w:rsid w:val="002C733F"/>
    <w:rsid w:val="002C753A"/>
    <w:rsid w:val="002D021D"/>
    <w:rsid w:val="002D0907"/>
    <w:rsid w:val="002D1776"/>
    <w:rsid w:val="002D1E93"/>
    <w:rsid w:val="002D3E1F"/>
    <w:rsid w:val="002D4D88"/>
    <w:rsid w:val="002D5D00"/>
    <w:rsid w:val="002D6FCB"/>
    <w:rsid w:val="002D76D6"/>
    <w:rsid w:val="002E16C5"/>
    <w:rsid w:val="002E2598"/>
    <w:rsid w:val="002E2D9F"/>
    <w:rsid w:val="002E3547"/>
    <w:rsid w:val="002E38E8"/>
    <w:rsid w:val="002E3C64"/>
    <w:rsid w:val="002E6785"/>
    <w:rsid w:val="002E6869"/>
    <w:rsid w:val="002E6D33"/>
    <w:rsid w:val="002F2C64"/>
    <w:rsid w:val="002F307D"/>
    <w:rsid w:val="002F331E"/>
    <w:rsid w:val="002F42FD"/>
    <w:rsid w:val="002F4464"/>
    <w:rsid w:val="002F7394"/>
    <w:rsid w:val="00300530"/>
    <w:rsid w:val="003014CE"/>
    <w:rsid w:val="00302FFC"/>
    <w:rsid w:val="00303042"/>
    <w:rsid w:val="0030324A"/>
    <w:rsid w:val="00305F4C"/>
    <w:rsid w:val="00307460"/>
    <w:rsid w:val="003076C5"/>
    <w:rsid w:val="0030779D"/>
    <w:rsid w:val="00310783"/>
    <w:rsid w:val="00312ED8"/>
    <w:rsid w:val="003141AE"/>
    <w:rsid w:val="00316C37"/>
    <w:rsid w:val="00316E36"/>
    <w:rsid w:val="003212DE"/>
    <w:rsid w:val="003221CF"/>
    <w:rsid w:val="00323129"/>
    <w:rsid w:val="003239F4"/>
    <w:rsid w:val="003243D0"/>
    <w:rsid w:val="0032688F"/>
    <w:rsid w:val="00326900"/>
    <w:rsid w:val="003307A1"/>
    <w:rsid w:val="00331CE6"/>
    <w:rsid w:val="003326B2"/>
    <w:rsid w:val="00334685"/>
    <w:rsid w:val="00334C87"/>
    <w:rsid w:val="00334E15"/>
    <w:rsid w:val="00335890"/>
    <w:rsid w:val="00335A7D"/>
    <w:rsid w:val="00337115"/>
    <w:rsid w:val="00337C57"/>
    <w:rsid w:val="00337D05"/>
    <w:rsid w:val="003400BE"/>
    <w:rsid w:val="0034137C"/>
    <w:rsid w:val="00341D49"/>
    <w:rsid w:val="0034387F"/>
    <w:rsid w:val="00344DED"/>
    <w:rsid w:val="00347134"/>
    <w:rsid w:val="003510B9"/>
    <w:rsid w:val="00351655"/>
    <w:rsid w:val="00353E67"/>
    <w:rsid w:val="003544CE"/>
    <w:rsid w:val="00354F06"/>
    <w:rsid w:val="003563A7"/>
    <w:rsid w:val="00357785"/>
    <w:rsid w:val="00357DA8"/>
    <w:rsid w:val="003602A1"/>
    <w:rsid w:val="003611B4"/>
    <w:rsid w:val="003625F8"/>
    <w:rsid w:val="00363008"/>
    <w:rsid w:val="003640DD"/>
    <w:rsid w:val="00364A08"/>
    <w:rsid w:val="00364EA2"/>
    <w:rsid w:val="00365127"/>
    <w:rsid w:val="00367B6C"/>
    <w:rsid w:val="00372C87"/>
    <w:rsid w:val="003730D4"/>
    <w:rsid w:val="00374181"/>
    <w:rsid w:val="0037430D"/>
    <w:rsid w:val="0037487E"/>
    <w:rsid w:val="003749F8"/>
    <w:rsid w:val="00376594"/>
    <w:rsid w:val="00377610"/>
    <w:rsid w:val="00380342"/>
    <w:rsid w:val="003813A8"/>
    <w:rsid w:val="00381735"/>
    <w:rsid w:val="00381A09"/>
    <w:rsid w:val="00381AC8"/>
    <w:rsid w:val="003821B0"/>
    <w:rsid w:val="00386295"/>
    <w:rsid w:val="00386946"/>
    <w:rsid w:val="003909EC"/>
    <w:rsid w:val="00391110"/>
    <w:rsid w:val="0039237B"/>
    <w:rsid w:val="00392DBA"/>
    <w:rsid w:val="00395721"/>
    <w:rsid w:val="00395EDF"/>
    <w:rsid w:val="003A0A8A"/>
    <w:rsid w:val="003A1000"/>
    <w:rsid w:val="003A1253"/>
    <w:rsid w:val="003A1FA2"/>
    <w:rsid w:val="003A2DF5"/>
    <w:rsid w:val="003A2FDB"/>
    <w:rsid w:val="003A4650"/>
    <w:rsid w:val="003A515C"/>
    <w:rsid w:val="003A5527"/>
    <w:rsid w:val="003A658A"/>
    <w:rsid w:val="003A6CED"/>
    <w:rsid w:val="003B208E"/>
    <w:rsid w:val="003B4A87"/>
    <w:rsid w:val="003B6225"/>
    <w:rsid w:val="003B640D"/>
    <w:rsid w:val="003B6B23"/>
    <w:rsid w:val="003B78A5"/>
    <w:rsid w:val="003C03D2"/>
    <w:rsid w:val="003C06E6"/>
    <w:rsid w:val="003C0ED3"/>
    <w:rsid w:val="003C1076"/>
    <w:rsid w:val="003C2ECC"/>
    <w:rsid w:val="003C3080"/>
    <w:rsid w:val="003C425B"/>
    <w:rsid w:val="003C43F3"/>
    <w:rsid w:val="003C636C"/>
    <w:rsid w:val="003C6CEB"/>
    <w:rsid w:val="003C6F13"/>
    <w:rsid w:val="003C7EF0"/>
    <w:rsid w:val="003D0544"/>
    <w:rsid w:val="003D0616"/>
    <w:rsid w:val="003D10AE"/>
    <w:rsid w:val="003D1D64"/>
    <w:rsid w:val="003D2672"/>
    <w:rsid w:val="003D325F"/>
    <w:rsid w:val="003E1148"/>
    <w:rsid w:val="003E162D"/>
    <w:rsid w:val="003E1F15"/>
    <w:rsid w:val="003E2CDF"/>
    <w:rsid w:val="003E3B45"/>
    <w:rsid w:val="003E514A"/>
    <w:rsid w:val="003E65AE"/>
    <w:rsid w:val="003F01C1"/>
    <w:rsid w:val="003F022C"/>
    <w:rsid w:val="003F1942"/>
    <w:rsid w:val="003F2586"/>
    <w:rsid w:val="003F26DB"/>
    <w:rsid w:val="003F3C39"/>
    <w:rsid w:val="003F4650"/>
    <w:rsid w:val="003F6429"/>
    <w:rsid w:val="003F6947"/>
    <w:rsid w:val="003F6A4D"/>
    <w:rsid w:val="00403365"/>
    <w:rsid w:val="004035C2"/>
    <w:rsid w:val="00404075"/>
    <w:rsid w:val="00404190"/>
    <w:rsid w:val="00404749"/>
    <w:rsid w:val="00404BD8"/>
    <w:rsid w:val="0040500A"/>
    <w:rsid w:val="00406A00"/>
    <w:rsid w:val="004071A8"/>
    <w:rsid w:val="004112E7"/>
    <w:rsid w:val="00411BF9"/>
    <w:rsid w:val="00413DEE"/>
    <w:rsid w:val="00415DB6"/>
    <w:rsid w:val="0041769A"/>
    <w:rsid w:val="004176C0"/>
    <w:rsid w:val="00421BC3"/>
    <w:rsid w:val="00422511"/>
    <w:rsid w:val="00423235"/>
    <w:rsid w:val="0042366E"/>
    <w:rsid w:val="00423C0F"/>
    <w:rsid w:val="00424DD6"/>
    <w:rsid w:val="00427939"/>
    <w:rsid w:val="00427BD5"/>
    <w:rsid w:val="0043087E"/>
    <w:rsid w:val="004323B0"/>
    <w:rsid w:val="00434C83"/>
    <w:rsid w:val="00434FC5"/>
    <w:rsid w:val="0043501A"/>
    <w:rsid w:val="00435EB0"/>
    <w:rsid w:val="0043640F"/>
    <w:rsid w:val="004366A5"/>
    <w:rsid w:val="0044210F"/>
    <w:rsid w:val="004435EE"/>
    <w:rsid w:val="00443CC4"/>
    <w:rsid w:val="004440A9"/>
    <w:rsid w:val="00444D09"/>
    <w:rsid w:val="004459E6"/>
    <w:rsid w:val="004462BD"/>
    <w:rsid w:val="00446C53"/>
    <w:rsid w:val="00447285"/>
    <w:rsid w:val="0045032D"/>
    <w:rsid w:val="004509E5"/>
    <w:rsid w:val="004516BA"/>
    <w:rsid w:val="004523CF"/>
    <w:rsid w:val="00452BF4"/>
    <w:rsid w:val="00453FF6"/>
    <w:rsid w:val="004550D2"/>
    <w:rsid w:val="004570AA"/>
    <w:rsid w:val="00457282"/>
    <w:rsid w:val="004609A1"/>
    <w:rsid w:val="00461B05"/>
    <w:rsid w:val="00461FC6"/>
    <w:rsid w:val="00462580"/>
    <w:rsid w:val="00463F1D"/>
    <w:rsid w:val="004641A9"/>
    <w:rsid w:val="0046543A"/>
    <w:rsid w:val="004655A4"/>
    <w:rsid w:val="00465610"/>
    <w:rsid w:val="004668EC"/>
    <w:rsid w:val="004669AA"/>
    <w:rsid w:val="00466EF3"/>
    <w:rsid w:val="00467684"/>
    <w:rsid w:val="0047166F"/>
    <w:rsid w:val="004717AC"/>
    <w:rsid w:val="0047303C"/>
    <w:rsid w:val="00473A2A"/>
    <w:rsid w:val="004750CC"/>
    <w:rsid w:val="00476446"/>
    <w:rsid w:val="0047742B"/>
    <w:rsid w:val="004777F8"/>
    <w:rsid w:val="00477A70"/>
    <w:rsid w:val="004801F0"/>
    <w:rsid w:val="004820AB"/>
    <w:rsid w:val="00483E73"/>
    <w:rsid w:val="00484520"/>
    <w:rsid w:val="0048719D"/>
    <w:rsid w:val="0049096C"/>
    <w:rsid w:val="00492DCB"/>
    <w:rsid w:val="00493A1A"/>
    <w:rsid w:val="00495B9F"/>
    <w:rsid w:val="00496A14"/>
    <w:rsid w:val="00496B63"/>
    <w:rsid w:val="00496DFE"/>
    <w:rsid w:val="004A0BFE"/>
    <w:rsid w:val="004A19D8"/>
    <w:rsid w:val="004A1FE7"/>
    <w:rsid w:val="004A20F4"/>
    <w:rsid w:val="004A2275"/>
    <w:rsid w:val="004A3638"/>
    <w:rsid w:val="004A4C14"/>
    <w:rsid w:val="004A4C90"/>
    <w:rsid w:val="004A500C"/>
    <w:rsid w:val="004B1327"/>
    <w:rsid w:val="004B301A"/>
    <w:rsid w:val="004B36F9"/>
    <w:rsid w:val="004B3999"/>
    <w:rsid w:val="004B453D"/>
    <w:rsid w:val="004B4EF5"/>
    <w:rsid w:val="004B6E97"/>
    <w:rsid w:val="004C0E8F"/>
    <w:rsid w:val="004C1599"/>
    <w:rsid w:val="004C1764"/>
    <w:rsid w:val="004C1BCD"/>
    <w:rsid w:val="004C1ECD"/>
    <w:rsid w:val="004C2AEF"/>
    <w:rsid w:val="004C31CA"/>
    <w:rsid w:val="004C3344"/>
    <w:rsid w:val="004C393D"/>
    <w:rsid w:val="004C65BA"/>
    <w:rsid w:val="004C731E"/>
    <w:rsid w:val="004C7F79"/>
    <w:rsid w:val="004D0882"/>
    <w:rsid w:val="004D0CD0"/>
    <w:rsid w:val="004D1139"/>
    <w:rsid w:val="004D1DB9"/>
    <w:rsid w:val="004D1F70"/>
    <w:rsid w:val="004D3BBF"/>
    <w:rsid w:val="004D492D"/>
    <w:rsid w:val="004D51A5"/>
    <w:rsid w:val="004D7FB4"/>
    <w:rsid w:val="004E0C97"/>
    <w:rsid w:val="004E1440"/>
    <w:rsid w:val="004E163C"/>
    <w:rsid w:val="004E1C8A"/>
    <w:rsid w:val="004E23D7"/>
    <w:rsid w:val="004E29BE"/>
    <w:rsid w:val="004E3647"/>
    <w:rsid w:val="004E3714"/>
    <w:rsid w:val="004E3784"/>
    <w:rsid w:val="004E38D0"/>
    <w:rsid w:val="004E4983"/>
    <w:rsid w:val="004E4EC3"/>
    <w:rsid w:val="004E54F7"/>
    <w:rsid w:val="004E5E50"/>
    <w:rsid w:val="004F04C4"/>
    <w:rsid w:val="004F0AB0"/>
    <w:rsid w:val="004F2687"/>
    <w:rsid w:val="004F3259"/>
    <w:rsid w:val="004F4993"/>
    <w:rsid w:val="004F4BC3"/>
    <w:rsid w:val="004F4DC4"/>
    <w:rsid w:val="004F68F5"/>
    <w:rsid w:val="004F7CC2"/>
    <w:rsid w:val="004F7F62"/>
    <w:rsid w:val="005006E8"/>
    <w:rsid w:val="0050087A"/>
    <w:rsid w:val="00500C59"/>
    <w:rsid w:val="005024D6"/>
    <w:rsid w:val="00502759"/>
    <w:rsid w:val="0050286F"/>
    <w:rsid w:val="0050331E"/>
    <w:rsid w:val="0050431D"/>
    <w:rsid w:val="00505C94"/>
    <w:rsid w:val="005102D5"/>
    <w:rsid w:val="0051124A"/>
    <w:rsid w:val="00512B1D"/>
    <w:rsid w:val="0051313D"/>
    <w:rsid w:val="005141FD"/>
    <w:rsid w:val="00520135"/>
    <w:rsid w:val="005214D6"/>
    <w:rsid w:val="00521602"/>
    <w:rsid w:val="00522602"/>
    <w:rsid w:val="0052393C"/>
    <w:rsid w:val="00525594"/>
    <w:rsid w:val="00526494"/>
    <w:rsid w:val="00527B23"/>
    <w:rsid w:val="00533DDA"/>
    <w:rsid w:val="00535D92"/>
    <w:rsid w:val="00536A16"/>
    <w:rsid w:val="00536DF1"/>
    <w:rsid w:val="00541AB0"/>
    <w:rsid w:val="005427E4"/>
    <w:rsid w:val="005429EC"/>
    <w:rsid w:val="00542BCD"/>
    <w:rsid w:val="00544C47"/>
    <w:rsid w:val="00545DB8"/>
    <w:rsid w:val="0054771D"/>
    <w:rsid w:val="00550BF4"/>
    <w:rsid w:val="00550DA3"/>
    <w:rsid w:val="00551D18"/>
    <w:rsid w:val="005529EF"/>
    <w:rsid w:val="00553C79"/>
    <w:rsid w:val="00553F73"/>
    <w:rsid w:val="0056045F"/>
    <w:rsid w:val="00560919"/>
    <w:rsid w:val="0056558F"/>
    <w:rsid w:val="005656BF"/>
    <w:rsid w:val="005660A9"/>
    <w:rsid w:val="00566C66"/>
    <w:rsid w:val="00566F1A"/>
    <w:rsid w:val="00570721"/>
    <w:rsid w:val="00570984"/>
    <w:rsid w:val="005710F9"/>
    <w:rsid w:val="00571B4A"/>
    <w:rsid w:val="005739FF"/>
    <w:rsid w:val="00573E37"/>
    <w:rsid w:val="00574437"/>
    <w:rsid w:val="00574D93"/>
    <w:rsid w:val="005753CF"/>
    <w:rsid w:val="005759D6"/>
    <w:rsid w:val="00576196"/>
    <w:rsid w:val="00576334"/>
    <w:rsid w:val="005766F2"/>
    <w:rsid w:val="00577A00"/>
    <w:rsid w:val="00577D8D"/>
    <w:rsid w:val="00581B2D"/>
    <w:rsid w:val="00582E07"/>
    <w:rsid w:val="0058581F"/>
    <w:rsid w:val="00586DC9"/>
    <w:rsid w:val="00587EEC"/>
    <w:rsid w:val="00587F14"/>
    <w:rsid w:val="0059155C"/>
    <w:rsid w:val="00591C5D"/>
    <w:rsid w:val="0059241F"/>
    <w:rsid w:val="005925AD"/>
    <w:rsid w:val="00592D48"/>
    <w:rsid w:val="0059429D"/>
    <w:rsid w:val="005946C4"/>
    <w:rsid w:val="0059564F"/>
    <w:rsid w:val="00595CC3"/>
    <w:rsid w:val="005966BF"/>
    <w:rsid w:val="005A029C"/>
    <w:rsid w:val="005A0B60"/>
    <w:rsid w:val="005A1041"/>
    <w:rsid w:val="005A2C60"/>
    <w:rsid w:val="005A2FB5"/>
    <w:rsid w:val="005A3255"/>
    <w:rsid w:val="005A4545"/>
    <w:rsid w:val="005A4821"/>
    <w:rsid w:val="005A5926"/>
    <w:rsid w:val="005A6930"/>
    <w:rsid w:val="005B0008"/>
    <w:rsid w:val="005B1858"/>
    <w:rsid w:val="005B1863"/>
    <w:rsid w:val="005B1F66"/>
    <w:rsid w:val="005B2A1F"/>
    <w:rsid w:val="005B2D26"/>
    <w:rsid w:val="005B3907"/>
    <w:rsid w:val="005B420C"/>
    <w:rsid w:val="005B5267"/>
    <w:rsid w:val="005B5708"/>
    <w:rsid w:val="005B5A0F"/>
    <w:rsid w:val="005B5D61"/>
    <w:rsid w:val="005B5E12"/>
    <w:rsid w:val="005C031A"/>
    <w:rsid w:val="005C07B8"/>
    <w:rsid w:val="005C34EE"/>
    <w:rsid w:val="005C393C"/>
    <w:rsid w:val="005C594A"/>
    <w:rsid w:val="005C61A1"/>
    <w:rsid w:val="005C643B"/>
    <w:rsid w:val="005C7C78"/>
    <w:rsid w:val="005D0B60"/>
    <w:rsid w:val="005D0BD4"/>
    <w:rsid w:val="005D1182"/>
    <w:rsid w:val="005D2A41"/>
    <w:rsid w:val="005D2EC5"/>
    <w:rsid w:val="005D360C"/>
    <w:rsid w:val="005D3950"/>
    <w:rsid w:val="005D3AEC"/>
    <w:rsid w:val="005D4745"/>
    <w:rsid w:val="005D4E74"/>
    <w:rsid w:val="005D51F2"/>
    <w:rsid w:val="005D6C36"/>
    <w:rsid w:val="005D74F9"/>
    <w:rsid w:val="005D7EE3"/>
    <w:rsid w:val="005E0CB0"/>
    <w:rsid w:val="005E1DD9"/>
    <w:rsid w:val="005E305F"/>
    <w:rsid w:val="005E4FD8"/>
    <w:rsid w:val="005E509C"/>
    <w:rsid w:val="005E53BD"/>
    <w:rsid w:val="005E5533"/>
    <w:rsid w:val="005E556F"/>
    <w:rsid w:val="005F1617"/>
    <w:rsid w:val="005F2B72"/>
    <w:rsid w:val="005F3E15"/>
    <w:rsid w:val="005F4A19"/>
    <w:rsid w:val="005F5651"/>
    <w:rsid w:val="005F5926"/>
    <w:rsid w:val="005F6ACE"/>
    <w:rsid w:val="00601460"/>
    <w:rsid w:val="00601DEF"/>
    <w:rsid w:val="00602A00"/>
    <w:rsid w:val="00602CFF"/>
    <w:rsid w:val="00603541"/>
    <w:rsid w:val="00603BBB"/>
    <w:rsid w:val="006046A8"/>
    <w:rsid w:val="00607F4C"/>
    <w:rsid w:val="0061012E"/>
    <w:rsid w:val="006105EB"/>
    <w:rsid w:val="00612420"/>
    <w:rsid w:val="00612B0F"/>
    <w:rsid w:val="00613E81"/>
    <w:rsid w:val="0061449A"/>
    <w:rsid w:val="00614FBE"/>
    <w:rsid w:val="006153E1"/>
    <w:rsid w:val="006167EB"/>
    <w:rsid w:val="00620D6C"/>
    <w:rsid w:val="00622143"/>
    <w:rsid w:val="006249DE"/>
    <w:rsid w:val="00624DFA"/>
    <w:rsid w:val="006278FA"/>
    <w:rsid w:val="00627EA9"/>
    <w:rsid w:val="006313B5"/>
    <w:rsid w:val="00634A2D"/>
    <w:rsid w:val="00635CCA"/>
    <w:rsid w:val="00636448"/>
    <w:rsid w:val="006365FB"/>
    <w:rsid w:val="00637F66"/>
    <w:rsid w:val="00640926"/>
    <w:rsid w:val="0064610E"/>
    <w:rsid w:val="00646E8B"/>
    <w:rsid w:val="00651594"/>
    <w:rsid w:val="00652F70"/>
    <w:rsid w:val="00653EC8"/>
    <w:rsid w:val="00654A5F"/>
    <w:rsid w:val="00654C14"/>
    <w:rsid w:val="00654C2C"/>
    <w:rsid w:val="00655064"/>
    <w:rsid w:val="00656031"/>
    <w:rsid w:val="00656F4B"/>
    <w:rsid w:val="00657E09"/>
    <w:rsid w:val="0066004C"/>
    <w:rsid w:val="0066314D"/>
    <w:rsid w:val="006645CB"/>
    <w:rsid w:val="006646B8"/>
    <w:rsid w:val="00664DBD"/>
    <w:rsid w:val="00664E4B"/>
    <w:rsid w:val="006651DB"/>
    <w:rsid w:val="006653F3"/>
    <w:rsid w:val="006654E3"/>
    <w:rsid w:val="0066561B"/>
    <w:rsid w:val="006659E2"/>
    <w:rsid w:val="00665C57"/>
    <w:rsid w:val="0066621E"/>
    <w:rsid w:val="00666CA4"/>
    <w:rsid w:val="00666DDA"/>
    <w:rsid w:val="0067066D"/>
    <w:rsid w:val="00672DCC"/>
    <w:rsid w:val="00672FBE"/>
    <w:rsid w:val="00674088"/>
    <w:rsid w:val="00674957"/>
    <w:rsid w:val="00674C33"/>
    <w:rsid w:val="00675191"/>
    <w:rsid w:val="006751B5"/>
    <w:rsid w:val="00675818"/>
    <w:rsid w:val="00675A75"/>
    <w:rsid w:val="00676AF9"/>
    <w:rsid w:val="00677572"/>
    <w:rsid w:val="00677BCA"/>
    <w:rsid w:val="00677C60"/>
    <w:rsid w:val="00677EE4"/>
    <w:rsid w:val="00680748"/>
    <w:rsid w:val="006807A1"/>
    <w:rsid w:val="00682097"/>
    <w:rsid w:val="00683188"/>
    <w:rsid w:val="00684B5E"/>
    <w:rsid w:val="0068578B"/>
    <w:rsid w:val="00685B55"/>
    <w:rsid w:val="00685BE2"/>
    <w:rsid w:val="006860C6"/>
    <w:rsid w:val="0068659F"/>
    <w:rsid w:val="00686C2C"/>
    <w:rsid w:val="00686DFB"/>
    <w:rsid w:val="006873B4"/>
    <w:rsid w:val="00687457"/>
    <w:rsid w:val="006877F3"/>
    <w:rsid w:val="00691018"/>
    <w:rsid w:val="00692107"/>
    <w:rsid w:val="00693D66"/>
    <w:rsid w:val="00694136"/>
    <w:rsid w:val="00695CC2"/>
    <w:rsid w:val="00697D07"/>
    <w:rsid w:val="006A0B4B"/>
    <w:rsid w:val="006A0B6B"/>
    <w:rsid w:val="006A0DE0"/>
    <w:rsid w:val="006A0F45"/>
    <w:rsid w:val="006A2C95"/>
    <w:rsid w:val="006A3FAD"/>
    <w:rsid w:val="006A443E"/>
    <w:rsid w:val="006A4682"/>
    <w:rsid w:val="006A4A68"/>
    <w:rsid w:val="006A5E8C"/>
    <w:rsid w:val="006A6C52"/>
    <w:rsid w:val="006B10F7"/>
    <w:rsid w:val="006B1425"/>
    <w:rsid w:val="006B211D"/>
    <w:rsid w:val="006B2A3F"/>
    <w:rsid w:val="006B2EE7"/>
    <w:rsid w:val="006B308A"/>
    <w:rsid w:val="006B490B"/>
    <w:rsid w:val="006B4BC7"/>
    <w:rsid w:val="006B4C68"/>
    <w:rsid w:val="006B5CA6"/>
    <w:rsid w:val="006C16BE"/>
    <w:rsid w:val="006C71B3"/>
    <w:rsid w:val="006D02D3"/>
    <w:rsid w:val="006D07D7"/>
    <w:rsid w:val="006D1D0D"/>
    <w:rsid w:val="006D29FD"/>
    <w:rsid w:val="006D40AD"/>
    <w:rsid w:val="006D476F"/>
    <w:rsid w:val="006D5769"/>
    <w:rsid w:val="006D696F"/>
    <w:rsid w:val="006D7C89"/>
    <w:rsid w:val="006D7DBF"/>
    <w:rsid w:val="006E1C48"/>
    <w:rsid w:val="006E4117"/>
    <w:rsid w:val="006E4C31"/>
    <w:rsid w:val="006E6C3B"/>
    <w:rsid w:val="006E78C7"/>
    <w:rsid w:val="006F02BA"/>
    <w:rsid w:val="006F0381"/>
    <w:rsid w:val="006F096E"/>
    <w:rsid w:val="006F0BAD"/>
    <w:rsid w:val="006F21D4"/>
    <w:rsid w:val="006F2CCD"/>
    <w:rsid w:val="006F3DE9"/>
    <w:rsid w:val="006F4DE1"/>
    <w:rsid w:val="006F545E"/>
    <w:rsid w:val="006F5594"/>
    <w:rsid w:val="006F7368"/>
    <w:rsid w:val="006F76B5"/>
    <w:rsid w:val="00700727"/>
    <w:rsid w:val="0070072F"/>
    <w:rsid w:val="0070166E"/>
    <w:rsid w:val="00702221"/>
    <w:rsid w:val="0070306D"/>
    <w:rsid w:val="00703E56"/>
    <w:rsid w:val="007044E3"/>
    <w:rsid w:val="00704557"/>
    <w:rsid w:val="0070482C"/>
    <w:rsid w:val="00705421"/>
    <w:rsid w:val="00705BD0"/>
    <w:rsid w:val="00705F90"/>
    <w:rsid w:val="00710546"/>
    <w:rsid w:val="0071140E"/>
    <w:rsid w:val="007116F6"/>
    <w:rsid w:val="00711A1A"/>
    <w:rsid w:val="0071468B"/>
    <w:rsid w:val="007159E8"/>
    <w:rsid w:val="007169AB"/>
    <w:rsid w:val="00716F7F"/>
    <w:rsid w:val="00720840"/>
    <w:rsid w:val="00724834"/>
    <w:rsid w:val="007276BE"/>
    <w:rsid w:val="00730613"/>
    <w:rsid w:val="007335AE"/>
    <w:rsid w:val="00733721"/>
    <w:rsid w:val="00734033"/>
    <w:rsid w:val="007368CE"/>
    <w:rsid w:val="00737C02"/>
    <w:rsid w:val="00741508"/>
    <w:rsid w:val="007418E2"/>
    <w:rsid w:val="00743848"/>
    <w:rsid w:val="007448BF"/>
    <w:rsid w:val="0074496D"/>
    <w:rsid w:val="007468BE"/>
    <w:rsid w:val="007472C8"/>
    <w:rsid w:val="00747734"/>
    <w:rsid w:val="00750522"/>
    <w:rsid w:val="0075085A"/>
    <w:rsid w:val="00750A47"/>
    <w:rsid w:val="00751614"/>
    <w:rsid w:val="00751E42"/>
    <w:rsid w:val="007524A2"/>
    <w:rsid w:val="00752605"/>
    <w:rsid w:val="007548A7"/>
    <w:rsid w:val="00754D49"/>
    <w:rsid w:val="007557C2"/>
    <w:rsid w:val="00755BCD"/>
    <w:rsid w:val="00760A7F"/>
    <w:rsid w:val="00760BED"/>
    <w:rsid w:val="00760F53"/>
    <w:rsid w:val="00761794"/>
    <w:rsid w:val="007619A5"/>
    <w:rsid w:val="007631FD"/>
    <w:rsid w:val="007635B6"/>
    <w:rsid w:val="007675F3"/>
    <w:rsid w:val="00767B4A"/>
    <w:rsid w:val="00767D8E"/>
    <w:rsid w:val="00770B1B"/>
    <w:rsid w:val="00770CB7"/>
    <w:rsid w:val="00771236"/>
    <w:rsid w:val="007718C9"/>
    <w:rsid w:val="00772234"/>
    <w:rsid w:val="00773087"/>
    <w:rsid w:val="007746E1"/>
    <w:rsid w:val="007762D1"/>
    <w:rsid w:val="00780B23"/>
    <w:rsid w:val="007812C3"/>
    <w:rsid w:val="00782371"/>
    <w:rsid w:val="0078263C"/>
    <w:rsid w:val="007829BC"/>
    <w:rsid w:val="00783134"/>
    <w:rsid w:val="007837AA"/>
    <w:rsid w:val="00784776"/>
    <w:rsid w:val="00784A31"/>
    <w:rsid w:val="0078502B"/>
    <w:rsid w:val="00785E06"/>
    <w:rsid w:val="00786F33"/>
    <w:rsid w:val="007872AD"/>
    <w:rsid w:val="00787B21"/>
    <w:rsid w:val="00790F3D"/>
    <w:rsid w:val="00791448"/>
    <w:rsid w:val="007922CA"/>
    <w:rsid w:val="00792888"/>
    <w:rsid w:val="00792DB1"/>
    <w:rsid w:val="00793321"/>
    <w:rsid w:val="0079523F"/>
    <w:rsid w:val="00795739"/>
    <w:rsid w:val="00795DB3"/>
    <w:rsid w:val="00797C05"/>
    <w:rsid w:val="00797E48"/>
    <w:rsid w:val="007A0D1E"/>
    <w:rsid w:val="007A230C"/>
    <w:rsid w:val="007A2D89"/>
    <w:rsid w:val="007A3369"/>
    <w:rsid w:val="007A4396"/>
    <w:rsid w:val="007A454D"/>
    <w:rsid w:val="007A45E9"/>
    <w:rsid w:val="007A4F66"/>
    <w:rsid w:val="007A75E0"/>
    <w:rsid w:val="007B0B24"/>
    <w:rsid w:val="007B1CCD"/>
    <w:rsid w:val="007B4646"/>
    <w:rsid w:val="007B4C4C"/>
    <w:rsid w:val="007B53FB"/>
    <w:rsid w:val="007B5621"/>
    <w:rsid w:val="007B5803"/>
    <w:rsid w:val="007B79CE"/>
    <w:rsid w:val="007C0498"/>
    <w:rsid w:val="007C0FB9"/>
    <w:rsid w:val="007C24E4"/>
    <w:rsid w:val="007C29FE"/>
    <w:rsid w:val="007C3A9E"/>
    <w:rsid w:val="007C4CB8"/>
    <w:rsid w:val="007C7AEC"/>
    <w:rsid w:val="007D2872"/>
    <w:rsid w:val="007D3284"/>
    <w:rsid w:val="007D5CCD"/>
    <w:rsid w:val="007D6C44"/>
    <w:rsid w:val="007E089A"/>
    <w:rsid w:val="007E17E1"/>
    <w:rsid w:val="007E6C8C"/>
    <w:rsid w:val="007E7081"/>
    <w:rsid w:val="007E7740"/>
    <w:rsid w:val="007E7ADB"/>
    <w:rsid w:val="007F0080"/>
    <w:rsid w:val="007F062D"/>
    <w:rsid w:val="007F0BEC"/>
    <w:rsid w:val="007F0CF8"/>
    <w:rsid w:val="007F0D2E"/>
    <w:rsid w:val="007F23BE"/>
    <w:rsid w:val="007F4422"/>
    <w:rsid w:val="007F5102"/>
    <w:rsid w:val="008002B7"/>
    <w:rsid w:val="0080041A"/>
    <w:rsid w:val="0080093C"/>
    <w:rsid w:val="0080097B"/>
    <w:rsid w:val="008010CB"/>
    <w:rsid w:val="00805804"/>
    <w:rsid w:val="00805A42"/>
    <w:rsid w:val="00806B0F"/>
    <w:rsid w:val="00807C18"/>
    <w:rsid w:val="00807FC3"/>
    <w:rsid w:val="00812252"/>
    <w:rsid w:val="00812DB3"/>
    <w:rsid w:val="00813277"/>
    <w:rsid w:val="00813848"/>
    <w:rsid w:val="00813C91"/>
    <w:rsid w:val="00813C98"/>
    <w:rsid w:val="00813DD2"/>
    <w:rsid w:val="008145D1"/>
    <w:rsid w:val="00815366"/>
    <w:rsid w:val="0081564C"/>
    <w:rsid w:val="00816240"/>
    <w:rsid w:val="008166FE"/>
    <w:rsid w:val="008178B5"/>
    <w:rsid w:val="00821919"/>
    <w:rsid w:val="0082196A"/>
    <w:rsid w:val="00822690"/>
    <w:rsid w:val="00822700"/>
    <w:rsid w:val="00823E0F"/>
    <w:rsid w:val="00825D85"/>
    <w:rsid w:val="008261DA"/>
    <w:rsid w:val="008274E8"/>
    <w:rsid w:val="00827602"/>
    <w:rsid w:val="0083384A"/>
    <w:rsid w:val="00837132"/>
    <w:rsid w:val="00837295"/>
    <w:rsid w:val="00841F2D"/>
    <w:rsid w:val="0084273D"/>
    <w:rsid w:val="00843049"/>
    <w:rsid w:val="00843C28"/>
    <w:rsid w:val="00844378"/>
    <w:rsid w:val="008443B8"/>
    <w:rsid w:val="008461AE"/>
    <w:rsid w:val="00846604"/>
    <w:rsid w:val="00847EE2"/>
    <w:rsid w:val="0085015B"/>
    <w:rsid w:val="008508BB"/>
    <w:rsid w:val="00853BB3"/>
    <w:rsid w:val="008541C8"/>
    <w:rsid w:val="00854F77"/>
    <w:rsid w:val="0085534F"/>
    <w:rsid w:val="00856762"/>
    <w:rsid w:val="008603AA"/>
    <w:rsid w:val="00860809"/>
    <w:rsid w:val="00860B3D"/>
    <w:rsid w:val="008612A5"/>
    <w:rsid w:val="00861CF4"/>
    <w:rsid w:val="00864553"/>
    <w:rsid w:val="00871C74"/>
    <w:rsid w:val="008720B5"/>
    <w:rsid w:val="0087472D"/>
    <w:rsid w:val="0087483F"/>
    <w:rsid w:val="00876FCF"/>
    <w:rsid w:val="008773FA"/>
    <w:rsid w:val="00880934"/>
    <w:rsid w:val="00880D24"/>
    <w:rsid w:val="00882843"/>
    <w:rsid w:val="00884718"/>
    <w:rsid w:val="00884C50"/>
    <w:rsid w:val="008859DF"/>
    <w:rsid w:val="008869AD"/>
    <w:rsid w:val="00887D9B"/>
    <w:rsid w:val="008916B0"/>
    <w:rsid w:val="00891DE8"/>
    <w:rsid w:val="00891FE6"/>
    <w:rsid w:val="008950BA"/>
    <w:rsid w:val="00896797"/>
    <w:rsid w:val="008A0C15"/>
    <w:rsid w:val="008A2692"/>
    <w:rsid w:val="008A304B"/>
    <w:rsid w:val="008A308D"/>
    <w:rsid w:val="008A43AC"/>
    <w:rsid w:val="008A5793"/>
    <w:rsid w:val="008A6A0D"/>
    <w:rsid w:val="008A6DAF"/>
    <w:rsid w:val="008B2303"/>
    <w:rsid w:val="008B250F"/>
    <w:rsid w:val="008B310E"/>
    <w:rsid w:val="008B35DF"/>
    <w:rsid w:val="008B3B1E"/>
    <w:rsid w:val="008B4A23"/>
    <w:rsid w:val="008B4A45"/>
    <w:rsid w:val="008B5095"/>
    <w:rsid w:val="008B51BF"/>
    <w:rsid w:val="008B562E"/>
    <w:rsid w:val="008B5C10"/>
    <w:rsid w:val="008B6734"/>
    <w:rsid w:val="008B6EFD"/>
    <w:rsid w:val="008B74FF"/>
    <w:rsid w:val="008C0E6C"/>
    <w:rsid w:val="008C11B3"/>
    <w:rsid w:val="008C150E"/>
    <w:rsid w:val="008C2D69"/>
    <w:rsid w:val="008C538D"/>
    <w:rsid w:val="008C6FB1"/>
    <w:rsid w:val="008D0373"/>
    <w:rsid w:val="008D19B3"/>
    <w:rsid w:val="008D2040"/>
    <w:rsid w:val="008D2099"/>
    <w:rsid w:val="008D229F"/>
    <w:rsid w:val="008D29EB"/>
    <w:rsid w:val="008D449D"/>
    <w:rsid w:val="008D4A14"/>
    <w:rsid w:val="008D60F0"/>
    <w:rsid w:val="008D7008"/>
    <w:rsid w:val="008E04E1"/>
    <w:rsid w:val="008E1AE7"/>
    <w:rsid w:val="008E1BEC"/>
    <w:rsid w:val="008E1C70"/>
    <w:rsid w:val="008E29C9"/>
    <w:rsid w:val="008E2AEA"/>
    <w:rsid w:val="008E34D1"/>
    <w:rsid w:val="008E4BD2"/>
    <w:rsid w:val="008E5004"/>
    <w:rsid w:val="008E5C0F"/>
    <w:rsid w:val="008E5C40"/>
    <w:rsid w:val="008E71EC"/>
    <w:rsid w:val="008E734D"/>
    <w:rsid w:val="008F131D"/>
    <w:rsid w:val="008F1569"/>
    <w:rsid w:val="008F1DE9"/>
    <w:rsid w:val="008F29FA"/>
    <w:rsid w:val="008F3BAD"/>
    <w:rsid w:val="008F4213"/>
    <w:rsid w:val="008F6952"/>
    <w:rsid w:val="008F6EB9"/>
    <w:rsid w:val="00901733"/>
    <w:rsid w:val="00901868"/>
    <w:rsid w:val="009026CB"/>
    <w:rsid w:val="009057DE"/>
    <w:rsid w:val="009064AE"/>
    <w:rsid w:val="00906FFB"/>
    <w:rsid w:val="0091140E"/>
    <w:rsid w:val="0091435E"/>
    <w:rsid w:val="00914C5B"/>
    <w:rsid w:val="0091505C"/>
    <w:rsid w:val="00915471"/>
    <w:rsid w:val="009156B1"/>
    <w:rsid w:val="00916310"/>
    <w:rsid w:val="00916E9F"/>
    <w:rsid w:val="0091759E"/>
    <w:rsid w:val="00917EDA"/>
    <w:rsid w:val="00920FA2"/>
    <w:rsid w:val="00921D32"/>
    <w:rsid w:val="00922413"/>
    <w:rsid w:val="00923874"/>
    <w:rsid w:val="00925945"/>
    <w:rsid w:val="00927010"/>
    <w:rsid w:val="009274C2"/>
    <w:rsid w:val="00927D3B"/>
    <w:rsid w:val="00927EED"/>
    <w:rsid w:val="009301C0"/>
    <w:rsid w:val="00930596"/>
    <w:rsid w:val="00931657"/>
    <w:rsid w:val="00931DDE"/>
    <w:rsid w:val="0093292E"/>
    <w:rsid w:val="00932DFF"/>
    <w:rsid w:val="00933B5C"/>
    <w:rsid w:val="009345F8"/>
    <w:rsid w:val="00934E83"/>
    <w:rsid w:val="009409A0"/>
    <w:rsid w:val="00941D4D"/>
    <w:rsid w:val="00942274"/>
    <w:rsid w:val="009433DE"/>
    <w:rsid w:val="00943D09"/>
    <w:rsid w:val="00944F87"/>
    <w:rsid w:val="00946F61"/>
    <w:rsid w:val="00950B2B"/>
    <w:rsid w:val="00951707"/>
    <w:rsid w:val="0095263C"/>
    <w:rsid w:val="009530D2"/>
    <w:rsid w:val="00953B72"/>
    <w:rsid w:val="00953B8D"/>
    <w:rsid w:val="0095401F"/>
    <w:rsid w:val="00955384"/>
    <w:rsid w:val="00957406"/>
    <w:rsid w:val="009574F2"/>
    <w:rsid w:val="00960EE6"/>
    <w:rsid w:val="00961165"/>
    <w:rsid w:val="00962570"/>
    <w:rsid w:val="00963197"/>
    <w:rsid w:val="009634AD"/>
    <w:rsid w:val="009635F1"/>
    <w:rsid w:val="00964197"/>
    <w:rsid w:val="00965464"/>
    <w:rsid w:val="00966081"/>
    <w:rsid w:val="009723D5"/>
    <w:rsid w:val="0097328E"/>
    <w:rsid w:val="009751F5"/>
    <w:rsid w:val="00975CBE"/>
    <w:rsid w:val="00976086"/>
    <w:rsid w:val="0097619A"/>
    <w:rsid w:val="0098014F"/>
    <w:rsid w:val="00980772"/>
    <w:rsid w:val="00981084"/>
    <w:rsid w:val="00984AA8"/>
    <w:rsid w:val="00986079"/>
    <w:rsid w:val="00987297"/>
    <w:rsid w:val="00987AEA"/>
    <w:rsid w:val="009902A4"/>
    <w:rsid w:val="00990AE3"/>
    <w:rsid w:val="00991403"/>
    <w:rsid w:val="00993675"/>
    <w:rsid w:val="00996A83"/>
    <w:rsid w:val="009971A7"/>
    <w:rsid w:val="009979F4"/>
    <w:rsid w:val="009A0806"/>
    <w:rsid w:val="009A0BF7"/>
    <w:rsid w:val="009A183C"/>
    <w:rsid w:val="009A2223"/>
    <w:rsid w:val="009A4A26"/>
    <w:rsid w:val="009A4FAA"/>
    <w:rsid w:val="009A5304"/>
    <w:rsid w:val="009A638F"/>
    <w:rsid w:val="009A677B"/>
    <w:rsid w:val="009B03BC"/>
    <w:rsid w:val="009B0DD8"/>
    <w:rsid w:val="009B105E"/>
    <w:rsid w:val="009B2F4F"/>
    <w:rsid w:val="009B3A61"/>
    <w:rsid w:val="009B5AB4"/>
    <w:rsid w:val="009B5E86"/>
    <w:rsid w:val="009B7510"/>
    <w:rsid w:val="009C1635"/>
    <w:rsid w:val="009C1946"/>
    <w:rsid w:val="009C1EA0"/>
    <w:rsid w:val="009C2C49"/>
    <w:rsid w:val="009C32EC"/>
    <w:rsid w:val="009C35A8"/>
    <w:rsid w:val="009C48A6"/>
    <w:rsid w:val="009C5BEA"/>
    <w:rsid w:val="009C5DC5"/>
    <w:rsid w:val="009C707B"/>
    <w:rsid w:val="009C781E"/>
    <w:rsid w:val="009D0C32"/>
    <w:rsid w:val="009D14A8"/>
    <w:rsid w:val="009D1753"/>
    <w:rsid w:val="009D1EBD"/>
    <w:rsid w:val="009D2AB5"/>
    <w:rsid w:val="009D3BE9"/>
    <w:rsid w:val="009D4FD1"/>
    <w:rsid w:val="009D50A0"/>
    <w:rsid w:val="009D686A"/>
    <w:rsid w:val="009D69CB"/>
    <w:rsid w:val="009E0808"/>
    <w:rsid w:val="009E0C10"/>
    <w:rsid w:val="009E29D9"/>
    <w:rsid w:val="009E4B87"/>
    <w:rsid w:val="009E4F2A"/>
    <w:rsid w:val="009E54D2"/>
    <w:rsid w:val="009E7666"/>
    <w:rsid w:val="009F20E5"/>
    <w:rsid w:val="009F5890"/>
    <w:rsid w:val="009F73D6"/>
    <w:rsid w:val="00A001D9"/>
    <w:rsid w:val="00A0223E"/>
    <w:rsid w:val="00A03D81"/>
    <w:rsid w:val="00A05C59"/>
    <w:rsid w:val="00A07023"/>
    <w:rsid w:val="00A0798D"/>
    <w:rsid w:val="00A10C0E"/>
    <w:rsid w:val="00A11210"/>
    <w:rsid w:val="00A11751"/>
    <w:rsid w:val="00A1270E"/>
    <w:rsid w:val="00A13C96"/>
    <w:rsid w:val="00A14985"/>
    <w:rsid w:val="00A1546F"/>
    <w:rsid w:val="00A158D7"/>
    <w:rsid w:val="00A159A6"/>
    <w:rsid w:val="00A15A00"/>
    <w:rsid w:val="00A160AB"/>
    <w:rsid w:val="00A16332"/>
    <w:rsid w:val="00A16F07"/>
    <w:rsid w:val="00A16FBE"/>
    <w:rsid w:val="00A171CD"/>
    <w:rsid w:val="00A176A1"/>
    <w:rsid w:val="00A17E29"/>
    <w:rsid w:val="00A20715"/>
    <w:rsid w:val="00A20737"/>
    <w:rsid w:val="00A218E1"/>
    <w:rsid w:val="00A2421B"/>
    <w:rsid w:val="00A242A7"/>
    <w:rsid w:val="00A244B0"/>
    <w:rsid w:val="00A2486F"/>
    <w:rsid w:val="00A25260"/>
    <w:rsid w:val="00A25311"/>
    <w:rsid w:val="00A25381"/>
    <w:rsid w:val="00A26D9D"/>
    <w:rsid w:val="00A274EC"/>
    <w:rsid w:val="00A30A54"/>
    <w:rsid w:val="00A31090"/>
    <w:rsid w:val="00A32128"/>
    <w:rsid w:val="00A32AA5"/>
    <w:rsid w:val="00A333AE"/>
    <w:rsid w:val="00A347EB"/>
    <w:rsid w:val="00A34B46"/>
    <w:rsid w:val="00A3545F"/>
    <w:rsid w:val="00A36CD6"/>
    <w:rsid w:val="00A37814"/>
    <w:rsid w:val="00A3786A"/>
    <w:rsid w:val="00A37B88"/>
    <w:rsid w:val="00A40A6C"/>
    <w:rsid w:val="00A43E4A"/>
    <w:rsid w:val="00A450D2"/>
    <w:rsid w:val="00A46F64"/>
    <w:rsid w:val="00A471AC"/>
    <w:rsid w:val="00A47A1A"/>
    <w:rsid w:val="00A50D96"/>
    <w:rsid w:val="00A51FD2"/>
    <w:rsid w:val="00A541FC"/>
    <w:rsid w:val="00A54681"/>
    <w:rsid w:val="00A54EAB"/>
    <w:rsid w:val="00A561C9"/>
    <w:rsid w:val="00A57003"/>
    <w:rsid w:val="00A57F21"/>
    <w:rsid w:val="00A62291"/>
    <w:rsid w:val="00A640AD"/>
    <w:rsid w:val="00A64C78"/>
    <w:rsid w:val="00A6530A"/>
    <w:rsid w:val="00A65EAD"/>
    <w:rsid w:val="00A675FB"/>
    <w:rsid w:val="00A707D5"/>
    <w:rsid w:val="00A713BC"/>
    <w:rsid w:val="00A7320C"/>
    <w:rsid w:val="00A73F74"/>
    <w:rsid w:val="00A7516D"/>
    <w:rsid w:val="00A75255"/>
    <w:rsid w:val="00A75440"/>
    <w:rsid w:val="00A75DF2"/>
    <w:rsid w:val="00A764E8"/>
    <w:rsid w:val="00A810D7"/>
    <w:rsid w:val="00A8113F"/>
    <w:rsid w:val="00A81E66"/>
    <w:rsid w:val="00A9010A"/>
    <w:rsid w:val="00A901D6"/>
    <w:rsid w:val="00A9337B"/>
    <w:rsid w:val="00A9384C"/>
    <w:rsid w:val="00A94C59"/>
    <w:rsid w:val="00A96E20"/>
    <w:rsid w:val="00A97356"/>
    <w:rsid w:val="00A97733"/>
    <w:rsid w:val="00A97CBF"/>
    <w:rsid w:val="00AA01DB"/>
    <w:rsid w:val="00AA038D"/>
    <w:rsid w:val="00AA4579"/>
    <w:rsid w:val="00AA501A"/>
    <w:rsid w:val="00AA5A01"/>
    <w:rsid w:val="00AA5A20"/>
    <w:rsid w:val="00AA76B4"/>
    <w:rsid w:val="00AA7BFD"/>
    <w:rsid w:val="00AB0F58"/>
    <w:rsid w:val="00AB1B9E"/>
    <w:rsid w:val="00AB1E27"/>
    <w:rsid w:val="00AB24BA"/>
    <w:rsid w:val="00AB2EA8"/>
    <w:rsid w:val="00AB66B2"/>
    <w:rsid w:val="00AC0176"/>
    <w:rsid w:val="00AC173E"/>
    <w:rsid w:val="00AC32F6"/>
    <w:rsid w:val="00AC495E"/>
    <w:rsid w:val="00AC56AF"/>
    <w:rsid w:val="00AC67BB"/>
    <w:rsid w:val="00AD30AA"/>
    <w:rsid w:val="00AD3752"/>
    <w:rsid w:val="00AD38F1"/>
    <w:rsid w:val="00AD3B40"/>
    <w:rsid w:val="00AD542A"/>
    <w:rsid w:val="00AD68D9"/>
    <w:rsid w:val="00AD6C72"/>
    <w:rsid w:val="00AD763B"/>
    <w:rsid w:val="00AE023B"/>
    <w:rsid w:val="00AE062C"/>
    <w:rsid w:val="00AE33A2"/>
    <w:rsid w:val="00AE4AFB"/>
    <w:rsid w:val="00AE546F"/>
    <w:rsid w:val="00AE5E67"/>
    <w:rsid w:val="00AE5E73"/>
    <w:rsid w:val="00AF2AAA"/>
    <w:rsid w:val="00AF60BE"/>
    <w:rsid w:val="00AF7A43"/>
    <w:rsid w:val="00AF7F59"/>
    <w:rsid w:val="00B000A8"/>
    <w:rsid w:val="00B028CD"/>
    <w:rsid w:val="00B04B29"/>
    <w:rsid w:val="00B055E5"/>
    <w:rsid w:val="00B0649D"/>
    <w:rsid w:val="00B066AD"/>
    <w:rsid w:val="00B104ED"/>
    <w:rsid w:val="00B10B6D"/>
    <w:rsid w:val="00B10D17"/>
    <w:rsid w:val="00B11F72"/>
    <w:rsid w:val="00B12258"/>
    <w:rsid w:val="00B143A1"/>
    <w:rsid w:val="00B1447B"/>
    <w:rsid w:val="00B164E0"/>
    <w:rsid w:val="00B1695E"/>
    <w:rsid w:val="00B169C6"/>
    <w:rsid w:val="00B2069F"/>
    <w:rsid w:val="00B218D9"/>
    <w:rsid w:val="00B21C03"/>
    <w:rsid w:val="00B2235E"/>
    <w:rsid w:val="00B22E0C"/>
    <w:rsid w:val="00B22E23"/>
    <w:rsid w:val="00B23B24"/>
    <w:rsid w:val="00B2487E"/>
    <w:rsid w:val="00B24D76"/>
    <w:rsid w:val="00B24F5E"/>
    <w:rsid w:val="00B2523E"/>
    <w:rsid w:val="00B274A8"/>
    <w:rsid w:val="00B2799F"/>
    <w:rsid w:val="00B27E23"/>
    <w:rsid w:val="00B300A7"/>
    <w:rsid w:val="00B305B4"/>
    <w:rsid w:val="00B31272"/>
    <w:rsid w:val="00B31A8D"/>
    <w:rsid w:val="00B32E40"/>
    <w:rsid w:val="00B33254"/>
    <w:rsid w:val="00B342F6"/>
    <w:rsid w:val="00B44C65"/>
    <w:rsid w:val="00B44E79"/>
    <w:rsid w:val="00B472D0"/>
    <w:rsid w:val="00B4764A"/>
    <w:rsid w:val="00B503B2"/>
    <w:rsid w:val="00B533F2"/>
    <w:rsid w:val="00B53440"/>
    <w:rsid w:val="00B53FAB"/>
    <w:rsid w:val="00B5504F"/>
    <w:rsid w:val="00B55BEB"/>
    <w:rsid w:val="00B5672E"/>
    <w:rsid w:val="00B578B7"/>
    <w:rsid w:val="00B60215"/>
    <w:rsid w:val="00B60277"/>
    <w:rsid w:val="00B6104D"/>
    <w:rsid w:val="00B614CD"/>
    <w:rsid w:val="00B629CB"/>
    <w:rsid w:val="00B62B3C"/>
    <w:rsid w:val="00B6420A"/>
    <w:rsid w:val="00B65673"/>
    <w:rsid w:val="00B703E5"/>
    <w:rsid w:val="00B74D44"/>
    <w:rsid w:val="00B76793"/>
    <w:rsid w:val="00B77DD2"/>
    <w:rsid w:val="00B77E50"/>
    <w:rsid w:val="00B81FC6"/>
    <w:rsid w:val="00B833A8"/>
    <w:rsid w:val="00B83F0E"/>
    <w:rsid w:val="00B84129"/>
    <w:rsid w:val="00B847D1"/>
    <w:rsid w:val="00B85FF7"/>
    <w:rsid w:val="00B862AF"/>
    <w:rsid w:val="00B86B94"/>
    <w:rsid w:val="00B86C1F"/>
    <w:rsid w:val="00B87052"/>
    <w:rsid w:val="00B8754B"/>
    <w:rsid w:val="00B87EEF"/>
    <w:rsid w:val="00B9001E"/>
    <w:rsid w:val="00B9027A"/>
    <w:rsid w:val="00B90998"/>
    <w:rsid w:val="00B90E12"/>
    <w:rsid w:val="00B9178D"/>
    <w:rsid w:val="00B92935"/>
    <w:rsid w:val="00B9494A"/>
    <w:rsid w:val="00B94A33"/>
    <w:rsid w:val="00B9588C"/>
    <w:rsid w:val="00B9599E"/>
    <w:rsid w:val="00BA1266"/>
    <w:rsid w:val="00BA2234"/>
    <w:rsid w:val="00BA28C1"/>
    <w:rsid w:val="00BA2CE0"/>
    <w:rsid w:val="00BA3689"/>
    <w:rsid w:val="00BA3F0B"/>
    <w:rsid w:val="00BA3F57"/>
    <w:rsid w:val="00BA425D"/>
    <w:rsid w:val="00BA4C25"/>
    <w:rsid w:val="00BA5A51"/>
    <w:rsid w:val="00BA5C58"/>
    <w:rsid w:val="00BA6B42"/>
    <w:rsid w:val="00BA7F53"/>
    <w:rsid w:val="00BB0118"/>
    <w:rsid w:val="00BB0578"/>
    <w:rsid w:val="00BB071E"/>
    <w:rsid w:val="00BB1829"/>
    <w:rsid w:val="00BB1AE8"/>
    <w:rsid w:val="00BB237E"/>
    <w:rsid w:val="00BB256A"/>
    <w:rsid w:val="00BB2581"/>
    <w:rsid w:val="00BB6709"/>
    <w:rsid w:val="00BB7297"/>
    <w:rsid w:val="00BB7B30"/>
    <w:rsid w:val="00BB7BE2"/>
    <w:rsid w:val="00BB7E11"/>
    <w:rsid w:val="00BB7E1F"/>
    <w:rsid w:val="00BC0604"/>
    <w:rsid w:val="00BC148A"/>
    <w:rsid w:val="00BC1CFB"/>
    <w:rsid w:val="00BC2C7D"/>
    <w:rsid w:val="00BC3BA4"/>
    <w:rsid w:val="00BC433E"/>
    <w:rsid w:val="00BC5EDD"/>
    <w:rsid w:val="00BC7948"/>
    <w:rsid w:val="00BC7BEA"/>
    <w:rsid w:val="00BC7EB7"/>
    <w:rsid w:val="00BD1119"/>
    <w:rsid w:val="00BD161B"/>
    <w:rsid w:val="00BD1909"/>
    <w:rsid w:val="00BD2110"/>
    <w:rsid w:val="00BD223E"/>
    <w:rsid w:val="00BD35BD"/>
    <w:rsid w:val="00BD3D8C"/>
    <w:rsid w:val="00BD5242"/>
    <w:rsid w:val="00BD57C1"/>
    <w:rsid w:val="00BD58C9"/>
    <w:rsid w:val="00BD5CDE"/>
    <w:rsid w:val="00BD607F"/>
    <w:rsid w:val="00BD6909"/>
    <w:rsid w:val="00BD74A6"/>
    <w:rsid w:val="00BE1274"/>
    <w:rsid w:val="00BE142F"/>
    <w:rsid w:val="00BE4582"/>
    <w:rsid w:val="00BE6580"/>
    <w:rsid w:val="00BE78A0"/>
    <w:rsid w:val="00BF038F"/>
    <w:rsid w:val="00BF11F9"/>
    <w:rsid w:val="00BF2C7C"/>
    <w:rsid w:val="00C00E48"/>
    <w:rsid w:val="00C011B7"/>
    <w:rsid w:val="00C028C3"/>
    <w:rsid w:val="00C04556"/>
    <w:rsid w:val="00C04DDF"/>
    <w:rsid w:val="00C05001"/>
    <w:rsid w:val="00C06F1F"/>
    <w:rsid w:val="00C07988"/>
    <w:rsid w:val="00C10AC9"/>
    <w:rsid w:val="00C10BBD"/>
    <w:rsid w:val="00C1101A"/>
    <w:rsid w:val="00C11078"/>
    <w:rsid w:val="00C139D1"/>
    <w:rsid w:val="00C151AA"/>
    <w:rsid w:val="00C1696C"/>
    <w:rsid w:val="00C178EA"/>
    <w:rsid w:val="00C2138E"/>
    <w:rsid w:val="00C21603"/>
    <w:rsid w:val="00C22613"/>
    <w:rsid w:val="00C22A23"/>
    <w:rsid w:val="00C241B1"/>
    <w:rsid w:val="00C243B3"/>
    <w:rsid w:val="00C2517A"/>
    <w:rsid w:val="00C25BA3"/>
    <w:rsid w:val="00C25ECC"/>
    <w:rsid w:val="00C27B86"/>
    <w:rsid w:val="00C33D3F"/>
    <w:rsid w:val="00C341BA"/>
    <w:rsid w:val="00C34745"/>
    <w:rsid w:val="00C36287"/>
    <w:rsid w:val="00C37F6E"/>
    <w:rsid w:val="00C413EB"/>
    <w:rsid w:val="00C41517"/>
    <w:rsid w:val="00C500CE"/>
    <w:rsid w:val="00C50C80"/>
    <w:rsid w:val="00C539E5"/>
    <w:rsid w:val="00C53E79"/>
    <w:rsid w:val="00C5666A"/>
    <w:rsid w:val="00C57392"/>
    <w:rsid w:val="00C62844"/>
    <w:rsid w:val="00C62C93"/>
    <w:rsid w:val="00C645BC"/>
    <w:rsid w:val="00C64867"/>
    <w:rsid w:val="00C64B42"/>
    <w:rsid w:val="00C65558"/>
    <w:rsid w:val="00C663F6"/>
    <w:rsid w:val="00C674B2"/>
    <w:rsid w:val="00C71888"/>
    <w:rsid w:val="00C71F95"/>
    <w:rsid w:val="00C73F46"/>
    <w:rsid w:val="00C747F8"/>
    <w:rsid w:val="00C74C44"/>
    <w:rsid w:val="00C759A3"/>
    <w:rsid w:val="00C76142"/>
    <w:rsid w:val="00C77D08"/>
    <w:rsid w:val="00C80246"/>
    <w:rsid w:val="00C8030B"/>
    <w:rsid w:val="00C83559"/>
    <w:rsid w:val="00C85C8F"/>
    <w:rsid w:val="00C85DE0"/>
    <w:rsid w:val="00C879C7"/>
    <w:rsid w:val="00C87BCA"/>
    <w:rsid w:val="00C92D71"/>
    <w:rsid w:val="00C92DB3"/>
    <w:rsid w:val="00C930C5"/>
    <w:rsid w:val="00C93ACD"/>
    <w:rsid w:val="00C95A23"/>
    <w:rsid w:val="00C96B79"/>
    <w:rsid w:val="00C97D8E"/>
    <w:rsid w:val="00CA00B9"/>
    <w:rsid w:val="00CA013E"/>
    <w:rsid w:val="00CA077B"/>
    <w:rsid w:val="00CA20B3"/>
    <w:rsid w:val="00CA2253"/>
    <w:rsid w:val="00CA2DEF"/>
    <w:rsid w:val="00CA2F55"/>
    <w:rsid w:val="00CA74E9"/>
    <w:rsid w:val="00CB1189"/>
    <w:rsid w:val="00CB1652"/>
    <w:rsid w:val="00CB16BB"/>
    <w:rsid w:val="00CB1FF6"/>
    <w:rsid w:val="00CB3726"/>
    <w:rsid w:val="00CB4BF8"/>
    <w:rsid w:val="00CB4D1A"/>
    <w:rsid w:val="00CB6872"/>
    <w:rsid w:val="00CC21C7"/>
    <w:rsid w:val="00CC24AC"/>
    <w:rsid w:val="00CC2F7C"/>
    <w:rsid w:val="00CC3C0F"/>
    <w:rsid w:val="00CC3CF0"/>
    <w:rsid w:val="00CC738D"/>
    <w:rsid w:val="00CD02C6"/>
    <w:rsid w:val="00CD11B3"/>
    <w:rsid w:val="00CD199E"/>
    <w:rsid w:val="00CD2963"/>
    <w:rsid w:val="00CD3152"/>
    <w:rsid w:val="00CD36B9"/>
    <w:rsid w:val="00CD4883"/>
    <w:rsid w:val="00CD4988"/>
    <w:rsid w:val="00CD5168"/>
    <w:rsid w:val="00CD620E"/>
    <w:rsid w:val="00CD6A22"/>
    <w:rsid w:val="00CE0603"/>
    <w:rsid w:val="00CE0FEE"/>
    <w:rsid w:val="00CE2091"/>
    <w:rsid w:val="00CE501A"/>
    <w:rsid w:val="00CE55AB"/>
    <w:rsid w:val="00CE5DD0"/>
    <w:rsid w:val="00CE60E9"/>
    <w:rsid w:val="00CE6A8F"/>
    <w:rsid w:val="00CE7D3E"/>
    <w:rsid w:val="00CF0C9F"/>
    <w:rsid w:val="00CF3359"/>
    <w:rsid w:val="00CF3791"/>
    <w:rsid w:val="00CF621D"/>
    <w:rsid w:val="00CF6D4B"/>
    <w:rsid w:val="00CF7CCA"/>
    <w:rsid w:val="00D0383D"/>
    <w:rsid w:val="00D048E8"/>
    <w:rsid w:val="00D0560B"/>
    <w:rsid w:val="00D0661B"/>
    <w:rsid w:val="00D072FE"/>
    <w:rsid w:val="00D10AF6"/>
    <w:rsid w:val="00D119DA"/>
    <w:rsid w:val="00D12053"/>
    <w:rsid w:val="00D12227"/>
    <w:rsid w:val="00D12881"/>
    <w:rsid w:val="00D129EB"/>
    <w:rsid w:val="00D14750"/>
    <w:rsid w:val="00D154EB"/>
    <w:rsid w:val="00D15923"/>
    <w:rsid w:val="00D16D95"/>
    <w:rsid w:val="00D17749"/>
    <w:rsid w:val="00D17F0F"/>
    <w:rsid w:val="00D212F4"/>
    <w:rsid w:val="00D214DB"/>
    <w:rsid w:val="00D22ACC"/>
    <w:rsid w:val="00D2313B"/>
    <w:rsid w:val="00D2346D"/>
    <w:rsid w:val="00D24BC3"/>
    <w:rsid w:val="00D264B4"/>
    <w:rsid w:val="00D269E5"/>
    <w:rsid w:val="00D27418"/>
    <w:rsid w:val="00D275D4"/>
    <w:rsid w:val="00D30447"/>
    <w:rsid w:val="00D30D1C"/>
    <w:rsid w:val="00D34D2F"/>
    <w:rsid w:val="00D35C64"/>
    <w:rsid w:val="00D3661F"/>
    <w:rsid w:val="00D36695"/>
    <w:rsid w:val="00D407F2"/>
    <w:rsid w:val="00D418C2"/>
    <w:rsid w:val="00D427EB"/>
    <w:rsid w:val="00D42828"/>
    <w:rsid w:val="00D432BA"/>
    <w:rsid w:val="00D44102"/>
    <w:rsid w:val="00D443E2"/>
    <w:rsid w:val="00D44D4A"/>
    <w:rsid w:val="00D44E0C"/>
    <w:rsid w:val="00D4503F"/>
    <w:rsid w:val="00D50C2E"/>
    <w:rsid w:val="00D50D7E"/>
    <w:rsid w:val="00D51534"/>
    <w:rsid w:val="00D517F2"/>
    <w:rsid w:val="00D51B35"/>
    <w:rsid w:val="00D52C7A"/>
    <w:rsid w:val="00D53764"/>
    <w:rsid w:val="00D53B3B"/>
    <w:rsid w:val="00D53FF4"/>
    <w:rsid w:val="00D540A1"/>
    <w:rsid w:val="00D540A9"/>
    <w:rsid w:val="00D5659A"/>
    <w:rsid w:val="00D56C2B"/>
    <w:rsid w:val="00D57228"/>
    <w:rsid w:val="00D57784"/>
    <w:rsid w:val="00D60389"/>
    <w:rsid w:val="00D61497"/>
    <w:rsid w:val="00D62F7E"/>
    <w:rsid w:val="00D6484C"/>
    <w:rsid w:val="00D64978"/>
    <w:rsid w:val="00D64F7A"/>
    <w:rsid w:val="00D655BB"/>
    <w:rsid w:val="00D67205"/>
    <w:rsid w:val="00D7324D"/>
    <w:rsid w:val="00D7351D"/>
    <w:rsid w:val="00D73625"/>
    <w:rsid w:val="00D74983"/>
    <w:rsid w:val="00D7596D"/>
    <w:rsid w:val="00D75D76"/>
    <w:rsid w:val="00D76C1D"/>
    <w:rsid w:val="00D8005B"/>
    <w:rsid w:val="00D80930"/>
    <w:rsid w:val="00D80D3D"/>
    <w:rsid w:val="00D81168"/>
    <w:rsid w:val="00D81B1F"/>
    <w:rsid w:val="00D82149"/>
    <w:rsid w:val="00D834AB"/>
    <w:rsid w:val="00D85477"/>
    <w:rsid w:val="00D85ED6"/>
    <w:rsid w:val="00D86102"/>
    <w:rsid w:val="00D9008C"/>
    <w:rsid w:val="00D90920"/>
    <w:rsid w:val="00D92AEA"/>
    <w:rsid w:val="00D9396F"/>
    <w:rsid w:val="00D95B74"/>
    <w:rsid w:val="00D95F3D"/>
    <w:rsid w:val="00D968A5"/>
    <w:rsid w:val="00DA0D58"/>
    <w:rsid w:val="00DA0E62"/>
    <w:rsid w:val="00DA4115"/>
    <w:rsid w:val="00DA43C5"/>
    <w:rsid w:val="00DA455C"/>
    <w:rsid w:val="00DA5770"/>
    <w:rsid w:val="00DA6FF5"/>
    <w:rsid w:val="00DA7114"/>
    <w:rsid w:val="00DA777B"/>
    <w:rsid w:val="00DB11E5"/>
    <w:rsid w:val="00DB2080"/>
    <w:rsid w:val="00DB2435"/>
    <w:rsid w:val="00DB2A26"/>
    <w:rsid w:val="00DB3C2E"/>
    <w:rsid w:val="00DB6782"/>
    <w:rsid w:val="00DB6B27"/>
    <w:rsid w:val="00DB7F49"/>
    <w:rsid w:val="00DC0927"/>
    <w:rsid w:val="00DC11A9"/>
    <w:rsid w:val="00DC3135"/>
    <w:rsid w:val="00DC36DE"/>
    <w:rsid w:val="00DC43CE"/>
    <w:rsid w:val="00DC45C4"/>
    <w:rsid w:val="00DC62DE"/>
    <w:rsid w:val="00DC727C"/>
    <w:rsid w:val="00DC7D82"/>
    <w:rsid w:val="00DD1EB2"/>
    <w:rsid w:val="00DD3A69"/>
    <w:rsid w:val="00DD3E94"/>
    <w:rsid w:val="00DD6B7E"/>
    <w:rsid w:val="00DD71A4"/>
    <w:rsid w:val="00DD78DE"/>
    <w:rsid w:val="00DD79DA"/>
    <w:rsid w:val="00DE0D58"/>
    <w:rsid w:val="00DE239A"/>
    <w:rsid w:val="00DE24B9"/>
    <w:rsid w:val="00DE516C"/>
    <w:rsid w:val="00DE552B"/>
    <w:rsid w:val="00DE5D24"/>
    <w:rsid w:val="00DE68EB"/>
    <w:rsid w:val="00DE76BF"/>
    <w:rsid w:val="00DF1BC1"/>
    <w:rsid w:val="00DF2DAD"/>
    <w:rsid w:val="00DF2FC7"/>
    <w:rsid w:val="00DF3028"/>
    <w:rsid w:val="00DF7266"/>
    <w:rsid w:val="00E00503"/>
    <w:rsid w:val="00E0177B"/>
    <w:rsid w:val="00E02E3A"/>
    <w:rsid w:val="00E052C5"/>
    <w:rsid w:val="00E069D1"/>
    <w:rsid w:val="00E07671"/>
    <w:rsid w:val="00E10BCB"/>
    <w:rsid w:val="00E10E10"/>
    <w:rsid w:val="00E112D6"/>
    <w:rsid w:val="00E11463"/>
    <w:rsid w:val="00E12B0A"/>
    <w:rsid w:val="00E13696"/>
    <w:rsid w:val="00E137E8"/>
    <w:rsid w:val="00E13B10"/>
    <w:rsid w:val="00E1439F"/>
    <w:rsid w:val="00E14EF0"/>
    <w:rsid w:val="00E155E7"/>
    <w:rsid w:val="00E1773B"/>
    <w:rsid w:val="00E1789C"/>
    <w:rsid w:val="00E208CB"/>
    <w:rsid w:val="00E21A2B"/>
    <w:rsid w:val="00E21F1D"/>
    <w:rsid w:val="00E22244"/>
    <w:rsid w:val="00E24111"/>
    <w:rsid w:val="00E25627"/>
    <w:rsid w:val="00E27861"/>
    <w:rsid w:val="00E300F1"/>
    <w:rsid w:val="00E33F7E"/>
    <w:rsid w:val="00E34EE4"/>
    <w:rsid w:val="00E35510"/>
    <w:rsid w:val="00E35668"/>
    <w:rsid w:val="00E3577B"/>
    <w:rsid w:val="00E35E19"/>
    <w:rsid w:val="00E37112"/>
    <w:rsid w:val="00E3737B"/>
    <w:rsid w:val="00E37E4A"/>
    <w:rsid w:val="00E40071"/>
    <w:rsid w:val="00E40E9F"/>
    <w:rsid w:val="00E4108E"/>
    <w:rsid w:val="00E419A7"/>
    <w:rsid w:val="00E41BF9"/>
    <w:rsid w:val="00E43891"/>
    <w:rsid w:val="00E446E9"/>
    <w:rsid w:val="00E451C6"/>
    <w:rsid w:val="00E4537B"/>
    <w:rsid w:val="00E4606C"/>
    <w:rsid w:val="00E468F3"/>
    <w:rsid w:val="00E46B7B"/>
    <w:rsid w:val="00E47A27"/>
    <w:rsid w:val="00E5152C"/>
    <w:rsid w:val="00E521C9"/>
    <w:rsid w:val="00E535CD"/>
    <w:rsid w:val="00E55197"/>
    <w:rsid w:val="00E55258"/>
    <w:rsid w:val="00E552E2"/>
    <w:rsid w:val="00E55578"/>
    <w:rsid w:val="00E566A7"/>
    <w:rsid w:val="00E56E74"/>
    <w:rsid w:val="00E57153"/>
    <w:rsid w:val="00E630EB"/>
    <w:rsid w:val="00E63E3F"/>
    <w:rsid w:val="00E64A09"/>
    <w:rsid w:val="00E655BC"/>
    <w:rsid w:val="00E6635A"/>
    <w:rsid w:val="00E666A5"/>
    <w:rsid w:val="00E6766F"/>
    <w:rsid w:val="00E67896"/>
    <w:rsid w:val="00E723A3"/>
    <w:rsid w:val="00E723DC"/>
    <w:rsid w:val="00E7385C"/>
    <w:rsid w:val="00E7446D"/>
    <w:rsid w:val="00E74F64"/>
    <w:rsid w:val="00E753D3"/>
    <w:rsid w:val="00E756B2"/>
    <w:rsid w:val="00E76825"/>
    <w:rsid w:val="00E800A4"/>
    <w:rsid w:val="00E80132"/>
    <w:rsid w:val="00E818D0"/>
    <w:rsid w:val="00E820D7"/>
    <w:rsid w:val="00E822E8"/>
    <w:rsid w:val="00E87DA4"/>
    <w:rsid w:val="00E9048F"/>
    <w:rsid w:val="00E90A77"/>
    <w:rsid w:val="00E934F8"/>
    <w:rsid w:val="00E93D00"/>
    <w:rsid w:val="00E93E4F"/>
    <w:rsid w:val="00E947C7"/>
    <w:rsid w:val="00E95C16"/>
    <w:rsid w:val="00E977C5"/>
    <w:rsid w:val="00EA103F"/>
    <w:rsid w:val="00EA12D7"/>
    <w:rsid w:val="00EA457C"/>
    <w:rsid w:val="00EA477E"/>
    <w:rsid w:val="00EA656D"/>
    <w:rsid w:val="00EA688A"/>
    <w:rsid w:val="00EA689C"/>
    <w:rsid w:val="00EA701B"/>
    <w:rsid w:val="00EB3A82"/>
    <w:rsid w:val="00EB4761"/>
    <w:rsid w:val="00EB4B98"/>
    <w:rsid w:val="00EB511C"/>
    <w:rsid w:val="00EB5545"/>
    <w:rsid w:val="00EB5853"/>
    <w:rsid w:val="00EB6886"/>
    <w:rsid w:val="00EB6AC1"/>
    <w:rsid w:val="00EC0E07"/>
    <w:rsid w:val="00EC1F85"/>
    <w:rsid w:val="00EC24EC"/>
    <w:rsid w:val="00EC2F3D"/>
    <w:rsid w:val="00EC4322"/>
    <w:rsid w:val="00EC481E"/>
    <w:rsid w:val="00EC65AD"/>
    <w:rsid w:val="00EC6C43"/>
    <w:rsid w:val="00EC7E92"/>
    <w:rsid w:val="00ED161E"/>
    <w:rsid w:val="00ED3EFC"/>
    <w:rsid w:val="00ED6150"/>
    <w:rsid w:val="00EE0D86"/>
    <w:rsid w:val="00EE23FE"/>
    <w:rsid w:val="00EE25F4"/>
    <w:rsid w:val="00EE34D4"/>
    <w:rsid w:val="00EE3697"/>
    <w:rsid w:val="00EE6829"/>
    <w:rsid w:val="00EE72BD"/>
    <w:rsid w:val="00EE74D4"/>
    <w:rsid w:val="00EF20E2"/>
    <w:rsid w:val="00EF33AF"/>
    <w:rsid w:val="00EF3438"/>
    <w:rsid w:val="00EF5E78"/>
    <w:rsid w:val="00EF62F2"/>
    <w:rsid w:val="00F00701"/>
    <w:rsid w:val="00F0077D"/>
    <w:rsid w:val="00F00AB4"/>
    <w:rsid w:val="00F015E4"/>
    <w:rsid w:val="00F01ED4"/>
    <w:rsid w:val="00F021CB"/>
    <w:rsid w:val="00F03026"/>
    <w:rsid w:val="00F054DA"/>
    <w:rsid w:val="00F05720"/>
    <w:rsid w:val="00F070F0"/>
    <w:rsid w:val="00F07CA6"/>
    <w:rsid w:val="00F109ED"/>
    <w:rsid w:val="00F111D7"/>
    <w:rsid w:val="00F14A8B"/>
    <w:rsid w:val="00F14F61"/>
    <w:rsid w:val="00F15A41"/>
    <w:rsid w:val="00F15B01"/>
    <w:rsid w:val="00F15D13"/>
    <w:rsid w:val="00F163EB"/>
    <w:rsid w:val="00F20ABE"/>
    <w:rsid w:val="00F20AF7"/>
    <w:rsid w:val="00F20B7F"/>
    <w:rsid w:val="00F20CD7"/>
    <w:rsid w:val="00F21635"/>
    <w:rsid w:val="00F25DAD"/>
    <w:rsid w:val="00F2688B"/>
    <w:rsid w:val="00F27A73"/>
    <w:rsid w:val="00F303EE"/>
    <w:rsid w:val="00F31CF3"/>
    <w:rsid w:val="00F32E72"/>
    <w:rsid w:val="00F338B1"/>
    <w:rsid w:val="00F33D80"/>
    <w:rsid w:val="00F344BC"/>
    <w:rsid w:val="00F34CBA"/>
    <w:rsid w:val="00F368A0"/>
    <w:rsid w:val="00F36914"/>
    <w:rsid w:val="00F3743D"/>
    <w:rsid w:val="00F378C7"/>
    <w:rsid w:val="00F37935"/>
    <w:rsid w:val="00F42F41"/>
    <w:rsid w:val="00F42FD4"/>
    <w:rsid w:val="00F44D15"/>
    <w:rsid w:val="00F47373"/>
    <w:rsid w:val="00F47F74"/>
    <w:rsid w:val="00F50AE0"/>
    <w:rsid w:val="00F51631"/>
    <w:rsid w:val="00F52658"/>
    <w:rsid w:val="00F52BF4"/>
    <w:rsid w:val="00F52D56"/>
    <w:rsid w:val="00F56050"/>
    <w:rsid w:val="00F563FC"/>
    <w:rsid w:val="00F571AB"/>
    <w:rsid w:val="00F57B15"/>
    <w:rsid w:val="00F609B2"/>
    <w:rsid w:val="00F60BE0"/>
    <w:rsid w:val="00F62635"/>
    <w:rsid w:val="00F63215"/>
    <w:rsid w:val="00F63624"/>
    <w:rsid w:val="00F639A9"/>
    <w:rsid w:val="00F64B19"/>
    <w:rsid w:val="00F65CE1"/>
    <w:rsid w:val="00F674ED"/>
    <w:rsid w:val="00F67C25"/>
    <w:rsid w:val="00F73DEC"/>
    <w:rsid w:val="00F745C7"/>
    <w:rsid w:val="00F74C6D"/>
    <w:rsid w:val="00F7593A"/>
    <w:rsid w:val="00F77455"/>
    <w:rsid w:val="00F80CA5"/>
    <w:rsid w:val="00F8171D"/>
    <w:rsid w:val="00F86577"/>
    <w:rsid w:val="00F912AA"/>
    <w:rsid w:val="00F93328"/>
    <w:rsid w:val="00F9335B"/>
    <w:rsid w:val="00F960D9"/>
    <w:rsid w:val="00F9764D"/>
    <w:rsid w:val="00FA06E9"/>
    <w:rsid w:val="00FA08B0"/>
    <w:rsid w:val="00FA135C"/>
    <w:rsid w:val="00FA1770"/>
    <w:rsid w:val="00FA2D34"/>
    <w:rsid w:val="00FA41FA"/>
    <w:rsid w:val="00FA571C"/>
    <w:rsid w:val="00FA598C"/>
    <w:rsid w:val="00FA695F"/>
    <w:rsid w:val="00FA696A"/>
    <w:rsid w:val="00FA760C"/>
    <w:rsid w:val="00FA795F"/>
    <w:rsid w:val="00FA7A17"/>
    <w:rsid w:val="00FB009E"/>
    <w:rsid w:val="00FB50F7"/>
    <w:rsid w:val="00FB551A"/>
    <w:rsid w:val="00FB5921"/>
    <w:rsid w:val="00FB5E59"/>
    <w:rsid w:val="00FB7372"/>
    <w:rsid w:val="00FB78F0"/>
    <w:rsid w:val="00FC04FC"/>
    <w:rsid w:val="00FC0B69"/>
    <w:rsid w:val="00FC17AA"/>
    <w:rsid w:val="00FC1C8B"/>
    <w:rsid w:val="00FC1D3B"/>
    <w:rsid w:val="00FC271F"/>
    <w:rsid w:val="00FC37AD"/>
    <w:rsid w:val="00FC4346"/>
    <w:rsid w:val="00FC5263"/>
    <w:rsid w:val="00FC6E03"/>
    <w:rsid w:val="00FC6E13"/>
    <w:rsid w:val="00FC73CB"/>
    <w:rsid w:val="00FC771C"/>
    <w:rsid w:val="00FC7E15"/>
    <w:rsid w:val="00FD1172"/>
    <w:rsid w:val="00FD19F0"/>
    <w:rsid w:val="00FD211E"/>
    <w:rsid w:val="00FD2C8B"/>
    <w:rsid w:val="00FD3CA2"/>
    <w:rsid w:val="00FD4EC3"/>
    <w:rsid w:val="00FD5A55"/>
    <w:rsid w:val="00FE12A5"/>
    <w:rsid w:val="00FE1535"/>
    <w:rsid w:val="00FE1973"/>
    <w:rsid w:val="00FE2373"/>
    <w:rsid w:val="00FE2529"/>
    <w:rsid w:val="00FE2877"/>
    <w:rsid w:val="00FE29F5"/>
    <w:rsid w:val="00FE2D43"/>
    <w:rsid w:val="00FE633E"/>
    <w:rsid w:val="00FF0351"/>
    <w:rsid w:val="00FF0C63"/>
    <w:rsid w:val="00FF0EFD"/>
    <w:rsid w:val="00FF1050"/>
    <w:rsid w:val="00FF2F8F"/>
    <w:rsid w:val="00FF4731"/>
    <w:rsid w:val="00FF61BA"/>
    <w:rsid w:val="00FF74A4"/>
    <w:rsid w:val="00FF761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6CDE664"/>
  <w15:docId w15:val="{B2D7CA94-7422-4756-89F2-F28F14DCF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Narrow" w:eastAsia="Arial" w:hAnsi="Arial Narrow" w:cs="Arial"/>
        <w:sz w:val="22"/>
        <w:szCs w:val="22"/>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20FA2"/>
    <w:pPr>
      <w:jc w:val="both"/>
    </w:pPr>
    <w:rPr>
      <w:sz w:val="24"/>
    </w:rPr>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paragraph" w:styleId="Ttulo7">
    <w:name w:val="heading 7"/>
    <w:basedOn w:val="Normal"/>
    <w:next w:val="Normal"/>
    <w:link w:val="Ttulo7Char"/>
    <w:uiPriority w:val="9"/>
    <w:unhideWhenUsed/>
    <w:qFormat/>
    <w:rsid w:val="00D4503F"/>
    <w:pPr>
      <w:keepNext/>
      <w:keepLines/>
      <w:spacing w:before="40"/>
      <w:ind w:left="709"/>
      <w:outlineLvl w:val="6"/>
    </w:pPr>
    <w:rPr>
      <w:rFonts w:eastAsiaTheme="majorEastAsia" w:cstheme="majorBidi"/>
      <w:iCs/>
    </w:rPr>
  </w:style>
  <w:style w:type="paragraph" w:styleId="Ttulo8">
    <w:name w:val="heading 8"/>
    <w:basedOn w:val="Ttulo"/>
    <w:next w:val="Ttulo"/>
    <w:link w:val="Ttulo8Char"/>
    <w:autoRedefine/>
    <w:uiPriority w:val="9"/>
    <w:unhideWhenUsed/>
    <w:qFormat/>
    <w:rsid w:val="00D36695"/>
    <w:pPr>
      <w:keepNext/>
      <w:keepLines/>
      <w:numPr>
        <w:numId w:val="9"/>
      </w:numPr>
      <w:outlineLvl w:val="7"/>
    </w:pPr>
    <w:rPr>
      <w:rFonts w:eastAsiaTheme="majorEastAsia" w:cstheme="majorBidi"/>
      <w:color w:val="272727" w:themeColor="text1" w:themeTint="D8"/>
      <w:szCs w:val="21"/>
    </w:rPr>
  </w:style>
  <w:style w:type="paragraph" w:styleId="Ttulo9">
    <w:name w:val="heading 9"/>
    <w:aliases w:val="SubTitle_python"/>
    <w:basedOn w:val="Normal"/>
    <w:next w:val="Normal"/>
    <w:link w:val="Ttulo9Char"/>
    <w:uiPriority w:val="9"/>
    <w:unhideWhenUsed/>
    <w:qFormat/>
    <w:rsid w:val="001C0B1C"/>
    <w:pPr>
      <w:keepNext/>
      <w:keepLines/>
      <w:jc w:val="center"/>
      <w:outlineLvl w:val="8"/>
    </w:pPr>
    <w:rPr>
      <w:rFonts w:eastAsiaTheme="majorEastAsia" w:cstheme="majorBidi"/>
      <w:iCs/>
      <w:color w:val="272727" w:themeColor="text1" w:themeTint="D8"/>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aliases w:val="Title_Python"/>
    <w:basedOn w:val="Normal"/>
    <w:next w:val="Normal"/>
    <w:link w:val="TtuloChar"/>
    <w:uiPriority w:val="10"/>
    <w:qFormat/>
    <w:rsid w:val="001F6313"/>
    <w:pPr>
      <w:numPr>
        <w:numId w:val="3"/>
      </w:numPr>
      <w:spacing w:before="120" w:after="120"/>
      <w:ind w:left="924" w:hanging="357"/>
      <w:outlineLvl w:val="0"/>
    </w:pPr>
    <w:rPr>
      <w:b/>
      <w:szCs w:val="24"/>
    </w:rPr>
  </w:style>
  <w:style w:type="paragraph" w:styleId="Subttulo">
    <w:name w:val="Subtitle"/>
    <w:basedOn w:val="Normal"/>
    <w:next w:val="Normal"/>
    <w:pPr>
      <w:keepNext/>
      <w:keepLines/>
      <w:spacing w:after="320"/>
    </w:pPr>
    <w:rPr>
      <w:color w:val="666666"/>
      <w:sz w:val="30"/>
      <w:szCs w:val="30"/>
    </w:rPr>
  </w:style>
  <w:style w:type="paragraph" w:styleId="PargrafodaLista">
    <w:name w:val="List Paragraph"/>
    <w:basedOn w:val="Normal"/>
    <w:uiPriority w:val="34"/>
    <w:qFormat/>
    <w:rsid w:val="0008339E"/>
    <w:pPr>
      <w:ind w:left="708"/>
    </w:pPr>
    <w:rPr>
      <w:rFonts w:ascii="Times New Roman" w:eastAsia="Times New Roman" w:hAnsi="Times New Roman" w:cs="Times New Roman"/>
      <w:szCs w:val="24"/>
    </w:rPr>
  </w:style>
  <w:style w:type="paragraph" w:styleId="Textodenotaderodap">
    <w:name w:val="footnote text"/>
    <w:basedOn w:val="Normal"/>
    <w:link w:val="TextodenotaderodapChar"/>
    <w:uiPriority w:val="99"/>
    <w:unhideWhenUsed/>
    <w:rsid w:val="0008339E"/>
    <w:pPr>
      <w:spacing w:after="200"/>
    </w:pPr>
    <w:rPr>
      <w:rFonts w:ascii="Calibri" w:eastAsia="Calibri" w:hAnsi="Calibri" w:cs="Times New Roman"/>
      <w:sz w:val="20"/>
      <w:szCs w:val="20"/>
      <w:lang w:eastAsia="en-US"/>
    </w:rPr>
  </w:style>
  <w:style w:type="character" w:customStyle="1" w:styleId="TextodenotaderodapChar">
    <w:name w:val="Texto de nota de rodapé Char"/>
    <w:basedOn w:val="Fontepargpadro"/>
    <w:link w:val="Textodenotaderodap"/>
    <w:uiPriority w:val="99"/>
    <w:rsid w:val="0008339E"/>
    <w:rPr>
      <w:rFonts w:ascii="Calibri" w:eastAsia="Calibri" w:hAnsi="Calibri" w:cs="Times New Roman"/>
      <w:sz w:val="20"/>
      <w:szCs w:val="20"/>
      <w:lang w:eastAsia="en-US"/>
    </w:rPr>
  </w:style>
  <w:style w:type="character" w:styleId="Refdenotaderodap">
    <w:name w:val="footnote reference"/>
    <w:uiPriority w:val="99"/>
    <w:unhideWhenUsed/>
    <w:rsid w:val="0008339E"/>
    <w:rPr>
      <w:vertAlign w:val="superscript"/>
    </w:rPr>
  </w:style>
  <w:style w:type="character" w:styleId="Hyperlink">
    <w:name w:val="Hyperlink"/>
    <w:uiPriority w:val="99"/>
    <w:unhideWhenUsed/>
    <w:rsid w:val="0008339E"/>
    <w:rPr>
      <w:color w:val="0563C1"/>
      <w:u w:val="single"/>
    </w:rPr>
  </w:style>
  <w:style w:type="paragraph" w:styleId="Sumrio1">
    <w:name w:val="toc 1"/>
    <w:basedOn w:val="Normal"/>
    <w:next w:val="Normal"/>
    <w:autoRedefine/>
    <w:uiPriority w:val="39"/>
    <w:unhideWhenUsed/>
    <w:rsid w:val="007B4646"/>
    <w:pPr>
      <w:tabs>
        <w:tab w:val="left" w:pos="660"/>
        <w:tab w:val="right" w:leader="dot" w:pos="8270"/>
      </w:tabs>
      <w:spacing w:before="120" w:after="120"/>
    </w:pPr>
    <w:rPr>
      <w:bCs/>
      <w:szCs w:val="20"/>
    </w:rPr>
  </w:style>
  <w:style w:type="paragraph" w:styleId="CabealhodoSumrio">
    <w:name w:val="TOC Heading"/>
    <w:basedOn w:val="Ttulo1"/>
    <w:next w:val="Normal"/>
    <w:uiPriority w:val="39"/>
    <w:unhideWhenUsed/>
    <w:qFormat/>
    <w:rsid w:val="0008339E"/>
    <w:pPr>
      <w:spacing w:before="240" w:after="0" w:line="259" w:lineRule="auto"/>
      <w:outlineLvl w:val="9"/>
    </w:pPr>
    <w:rPr>
      <w:rFonts w:ascii="Calibri Light" w:eastAsia="Times New Roman" w:hAnsi="Calibri Light" w:cs="Times New Roman"/>
      <w:color w:val="2E74B5"/>
      <w:sz w:val="32"/>
      <w:szCs w:val="32"/>
    </w:rPr>
  </w:style>
  <w:style w:type="character" w:customStyle="1" w:styleId="TtuloChar">
    <w:name w:val="Título Char"/>
    <w:aliases w:val="Title_Python Char"/>
    <w:link w:val="Ttulo"/>
    <w:uiPriority w:val="10"/>
    <w:rsid w:val="001F6313"/>
    <w:rPr>
      <w:b/>
      <w:sz w:val="24"/>
      <w:szCs w:val="24"/>
    </w:rPr>
  </w:style>
  <w:style w:type="paragraph" w:styleId="Cabealho">
    <w:name w:val="header"/>
    <w:basedOn w:val="Normal"/>
    <w:link w:val="CabealhoChar"/>
    <w:uiPriority w:val="99"/>
    <w:unhideWhenUsed/>
    <w:rsid w:val="00853BB3"/>
    <w:pPr>
      <w:tabs>
        <w:tab w:val="center" w:pos="4252"/>
        <w:tab w:val="right" w:pos="8504"/>
      </w:tabs>
    </w:pPr>
  </w:style>
  <w:style w:type="character" w:customStyle="1" w:styleId="CabealhoChar">
    <w:name w:val="Cabeçalho Char"/>
    <w:basedOn w:val="Fontepargpadro"/>
    <w:link w:val="Cabealho"/>
    <w:uiPriority w:val="99"/>
    <w:rsid w:val="00853BB3"/>
  </w:style>
  <w:style w:type="paragraph" w:styleId="Rodap">
    <w:name w:val="footer"/>
    <w:basedOn w:val="Normal"/>
    <w:link w:val="RodapChar"/>
    <w:uiPriority w:val="99"/>
    <w:unhideWhenUsed/>
    <w:rsid w:val="00853BB3"/>
    <w:pPr>
      <w:tabs>
        <w:tab w:val="center" w:pos="4252"/>
        <w:tab w:val="right" w:pos="8504"/>
      </w:tabs>
    </w:pPr>
  </w:style>
  <w:style w:type="character" w:customStyle="1" w:styleId="RodapChar">
    <w:name w:val="Rodapé Char"/>
    <w:basedOn w:val="Fontepargpadro"/>
    <w:link w:val="Rodap"/>
    <w:uiPriority w:val="99"/>
    <w:rsid w:val="00853BB3"/>
  </w:style>
  <w:style w:type="paragraph" w:styleId="Textodebalo">
    <w:name w:val="Balloon Text"/>
    <w:basedOn w:val="Normal"/>
    <w:link w:val="TextodebaloChar"/>
    <w:uiPriority w:val="99"/>
    <w:semiHidden/>
    <w:unhideWhenUsed/>
    <w:rsid w:val="000911EE"/>
    <w:rPr>
      <w:rFonts w:ascii="Segoe UI" w:hAnsi="Segoe UI" w:cs="Segoe UI"/>
      <w:sz w:val="18"/>
      <w:szCs w:val="18"/>
    </w:rPr>
  </w:style>
  <w:style w:type="character" w:customStyle="1" w:styleId="TextodebaloChar">
    <w:name w:val="Texto de balão Char"/>
    <w:basedOn w:val="Fontepargpadro"/>
    <w:link w:val="Textodebalo"/>
    <w:uiPriority w:val="99"/>
    <w:semiHidden/>
    <w:rsid w:val="000911EE"/>
    <w:rPr>
      <w:rFonts w:ascii="Segoe UI" w:hAnsi="Segoe UI" w:cs="Segoe UI"/>
      <w:sz w:val="18"/>
      <w:szCs w:val="18"/>
    </w:rPr>
  </w:style>
  <w:style w:type="paragraph" w:styleId="NormalWeb">
    <w:name w:val="Normal (Web)"/>
    <w:basedOn w:val="Normal"/>
    <w:uiPriority w:val="99"/>
    <w:unhideWhenUsed/>
    <w:rsid w:val="00687457"/>
    <w:pPr>
      <w:spacing w:before="100" w:beforeAutospacing="1" w:after="100" w:afterAutospacing="1"/>
    </w:pPr>
    <w:rPr>
      <w:rFonts w:ascii="Times New Roman" w:eastAsia="Times New Roman" w:hAnsi="Times New Roman" w:cs="Times New Roman"/>
      <w:szCs w:val="24"/>
    </w:rPr>
  </w:style>
  <w:style w:type="character" w:styleId="HiperlinkVisitado">
    <w:name w:val="FollowedHyperlink"/>
    <w:basedOn w:val="Fontepargpadro"/>
    <w:uiPriority w:val="99"/>
    <w:semiHidden/>
    <w:unhideWhenUsed/>
    <w:rsid w:val="003E1148"/>
    <w:rPr>
      <w:color w:val="800080" w:themeColor="followedHyperlink"/>
      <w:u w:val="single"/>
    </w:rPr>
  </w:style>
  <w:style w:type="table" w:styleId="Tabelacomgrade">
    <w:name w:val="Table Grid"/>
    <w:basedOn w:val="Tabelanormal"/>
    <w:uiPriority w:val="39"/>
    <w:rsid w:val="00A25381"/>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A029C"/>
    <w:pPr>
      <w:autoSpaceDE w:val="0"/>
      <w:autoSpaceDN w:val="0"/>
      <w:adjustRightInd w:val="0"/>
    </w:pPr>
    <w:rPr>
      <w:color w:val="000000"/>
      <w:sz w:val="24"/>
      <w:szCs w:val="24"/>
    </w:rPr>
  </w:style>
  <w:style w:type="paragraph" w:styleId="Sumrio2">
    <w:name w:val="toc 2"/>
    <w:basedOn w:val="Normal"/>
    <w:next w:val="Normal"/>
    <w:autoRedefine/>
    <w:uiPriority w:val="39"/>
    <w:unhideWhenUsed/>
    <w:rsid w:val="003C06E6"/>
    <w:pPr>
      <w:spacing w:before="120"/>
      <w:ind w:left="220"/>
    </w:pPr>
    <w:rPr>
      <w:rFonts w:asciiTheme="minorHAnsi" w:hAnsiTheme="minorHAnsi"/>
      <w:i/>
      <w:iCs/>
      <w:sz w:val="20"/>
      <w:szCs w:val="20"/>
    </w:rPr>
  </w:style>
  <w:style w:type="paragraph" w:styleId="Sumrio3">
    <w:name w:val="toc 3"/>
    <w:basedOn w:val="Normal"/>
    <w:next w:val="Normal"/>
    <w:autoRedefine/>
    <w:uiPriority w:val="39"/>
    <w:unhideWhenUsed/>
    <w:rsid w:val="00D17F0F"/>
    <w:pPr>
      <w:ind w:left="440"/>
    </w:pPr>
    <w:rPr>
      <w:rFonts w:asciiTheme="minorHAnsi" w:hAnsiTheme="minorHAnsi"/>
      <w:sz w:val="20"/>
      <w:szCs w:val="20"/>
    </w:rPr>
  </w:style>
  <w:style w:type="paragraph" w:styleId="Sumrio4">
    <w:name w:val="toc 4"/>
    <w:basedOn w:val="Normal"/>
    <w:next w:val="Normal"/>
    <w:autoRedefine/>
    <w:uiPriority w:val="39"/>
    <w:unhideWhenUsed/>
    <w:rsid w:val="00D17F0F"/>
    <w:pPr>
      <w:ind w:left="660"/>
    </w:pPr>
    <w:rPr>
      <w:rFonts w:asciiTheme="minorHAnsi" w:hAnsiTheme="minorHAnsi"/>
      <w:sz w:val="20"/>
      <w:szCs w:val="20"/>
    </w:rPr>
  </w:style>
  <w:style w:type="paragraph" w:styleId="Sumrio5">
    <w:name w:val="toc 5"/>
    <w:basedOn w:val="Normal"/>
    <w:next w:val="Normal"/>
    <w:autoRedefine/>
    <w:uiPriority w:val="39"/>
    <w:unhideWhenUsed/>
    <w:rsid w:val="00D17F0F"/>
    <w:pPr>
      <w:ind w:left="880"/>
    </w:pPr>
    <w:rPr>
      <w:rFonts w:asciiTheme="minorHAnsi" w:hAnsiTheme="minorHAnsi"/>
      <w:sz w:val="20"/>
      <w:szCs w:val="20"/>
    </w:rPr>
  </w:style>
  <w:style w:type="paragraph" w:styleId="Sumrio6">
    <w:name w:val="toc 6"/>
    <w:basedOn w:val="Normal"/>
    <w:next w:val="Normal"/>
    <w:autoRedefine/>
    <w:uiPriority w:val="39"/>
    <w:unhideWhenUsed/>
    <w:rsid w:val="00D17F0F"/>
    <w:pPr>
      <w:ind w:left="1100"/>
    </w:pPr>
    <w:rPr>
      <w:rFonts w:asciiTheme="minorHAnsi" w:hAnsiTheme="minorHAnsi"/>
      <w:sz w:val="20"/>
      <w:szCs w:val="20"/>
    </w:rPr>
  </w:style>
  <w:style w:type="paragraph" w:styleId="Sumrio7">
    <w:name w:val="toc 7"/>
    <w:basedOn w:val="Normal"/>
    <w:next w:val="Normal"/>
    <w:autoRedefine/>
    <w:uiPriority w:val="39"/>
    <w:unhideWhenUsed/>
    <w:rsid w:val="00D17F0F"/>
    <w:pPr>
      <w:ind w:left="1320"/>
    </w:pPr>
    <w:rPr>
      <w:rFonts w:asciiTheme="minorHAnsi" w:hAnsiTheme="minorHAnsi"/>
      <w:sz w:val="20"/>
      <w:szCs w:val="20"/>
    </w:rPr>
  </w:style>
  <w:style w:type="paragraph" w:styleId="Sumrio8">
    <w:name w:val="toc 8"/>
    <w:basedOn w:val="Normal"/>
    <w:next w:val="Normal"/>
    <w:autoRedefine/>
    <w:uiPriority w:val="39"/>
    <w:unhideWhenUsed/>
    <w:rsid w:val="00D17F0F"/>
    <w:pPr>
      <w:ind w:left="1540"/>
    </w:pPr>
    <w:rPr>
      <w:rFonts w:asciiTheme="minorHAnsi" w:hAnsiTheme="minorHAnsi"/>
      <w:sz w:val="20"/>
      <w:szCs w:val="20"/>
    </w:rPr>
  </w:style>
  <w:style w:type="paragraph" w:styleId="Sumrio9">
    <w:name w:val="toc 9"/>
    <w:basedOn w:val="Normal"/>
    <w:next w:val="Normal"/>
    <w:autoRedefine/>
    <w:uiPriority w:val="39"/>
    <w:unhideWhenUsed/>
    <w:rsid w:val="00D17F0F"/>
    <w:pPr>
      <w:ind w:left="1760"/>
    </w:pPr>
    <w:rPr>
      <w:rFonts w:asciiTheme="minorHAnsi" w:hAnsiTheme="minorHAnsi"/>
      <w:sz w:val="20"/>
      <w:szCs w:val="20"/>
    </w:rPr>
  </w:style>
  <w:style w:type="character" w:styleId="nfase">
    <w:name w:val="Emphasis"/>
    <w:basedOn w:val="Fontepargpadro"/>
    <w:uiPriority w:val="20"/>
    <w:qFormat/>
    <w:rsid w:val="00581B2D"/>
    <w:rPr>
      <w:i/>
      <w:iCs/>
    </w:rPr>
  </w:style>
  <w:style w:type="character" w:customStyle="1" w:styleId="mgabyb">
    <w:name w:val="mgabyb"/>
    <w:basedOn w:val="Fontepargpadro"/>
    <w:rsid w:val="00581B2D"/>
  </w:style>
  <w:style w:type="paragraph" w:styleId="SemEspaamento">
    <w:name w:val="No Spacing"/>
    <w:uiPriority w:val="1"/>
    <w:qFormat/>
    <w:rsid w:val="00ED161E"/>
    <w:pPr>
      <w:numPr>
        <w:numId w:val="7"/>
      </w:numPr>
      <w:ind w:left="0" w:firstLine="284"/>
      <w:contextualSpacing/>
      <w:jc w:val="both"/>
    </w:pPr>
    <w:rPr>
      <w:sz w:val="24"/>
    </w:rPr>
  </w:style>
  <w:style w:type="character" w:styleId="Forte">
    <w:name w:val="Strong"/>
    <w:basedOn w:val="Fontepargpadro"/>
    <w:uiPriority w:val="22"/>
    <w:qFormat/>
    <w:rsid w:val="00C028C3"/>
    <w:rPr>
      <w:b/>
      <w:bCs/>
    </w:rPr>
  </w:style>
  <w:style w:type="numbering" w:customStyle="1" w:styleId="Estilo1">
    <w:name w:val="Estilo1"/>
    <w:uiPriority w:val="99"/>
    <w:rsid w:val="000743D5"/>
    <w:pPr>
      <w:numPr>
        <w:numId w:val="1"/>
      </w:numPr>
    </w:pPr>
  </w:style>
  <w:style w:type="character" w:customStyle="1" w:styleId="Ttulo7Char">
    <w:name w:val="Título 7 Char"/>
    <w:basedOn w:val="Fontepargpadro"/>
    <w:link w:val="Ttulo7"/>
    <w:uiPriority w:val="9"/>
    <w:rsid w:val="00D4503F"/>
    <w:rPr>
      <w:rFonts w:eastAsiaTheme="majorEastAsia" w:cstheme="majorBidi"/>
      <w:iCs/>
      <w:sz w:val="24"/>
    </w:rPr>
  </w:style>
  <w:style w:type="character" w:customStyle="1" w:styleId="Ttulo8Char">
    <w:name w:val="Título 8 Char"/>
    <w:basedOn w:val="Fontepargpadro"/>
    <w:link w:val="Ttulo8"/>
    <w:uiPriority w:val="9"/>
    <w:rsid w:val="00D36695"/>
    <w:rPr>
      <w:rFonts w:eastAsiaTheme="majorEastAsia" w:cstheme="majorBidi"/>
      <w:b/>
      <w:color w:val="272727" w:themeColor="text1" w:themeTint="D8"/>
      <w:sz w:val="24"/>
      <w:szCs w:val="21"/>
    </w:rPr>
  </w:style>
  <w:style w:type="character" w:customStyle="1" w:styleId="Ttulo9Char">
    <w:name w:val="Título 9 Char"/>
    <w:aliases w:val="SubTitle_python Char"/>
    <w:basedOn w:val="Fontepargpadro"/>
    <w:link w:val="Ttulo9"/>
    <w:uiPriority w:val="9"/>
    <w:rsid w:val="001C0B1C"/>
    <w:rPr>
      <w:rFonts w:eastAsiaTheme="majorEastAsia" w:cstheme="majorBidi"/>
      <w:iCs/>
      <w:color w:val="272727" w:themeColor="text1" w:themeTint="D8"/>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086187">
      <w:bodyDiv w:val="1"/>
      <w:marLeft w:val="0"/>
      <w:marRight w:val="0"/>
      <w:marTop w:val="0"/>
      <w:marBottom w:val="0"/>
      <w:divBdr>
        <w:top w:val="none" w:sz="0" w:space="0" w:color="auto"/>
        <w:left w:val="none" w:sz="0" w:space="0" w:color="auto"/>
        <w:bottom w:val="none" w:sz="0" w:space="0" w:color="auto"/>
        <w:right w:val="none" w:sz="0" w:space="0" w:color="auto"/>
      </w:divBdr>
    </w:div>
    <w:div w:id="119301139">
      <w:bodyDiv w:val="1"/>
      <w:marLeft w:val="0"/>
      <w:marRight w:val="0"/>
      <w:marTop w:val="0"/>
      <w:marBottom w:val="0"/>
      <w:divBdr>
        <w:top w:val="none" w:sz="0" w:space="0" w:color="auto"/>
        <w:left w:val="none" w:sz="0" w:space="0" w:color="auto"/>
        <w:bottom w:val="none" w:sz="0" w:space="0" w:color="auto"/>
        <w:right w:val="none" w:sz="0" w:space="0" w:color="auto"/>
      </w:divBdr>
    </w:div>
    <w:div w:id="177621593">
      <w:bodyDiv w:val="1"/>
      <w:marLeft w:val="0"/>
      <w:marRight w:val="0"/>
      <w:marTop w:val="0"/>
      <w:marBottom w:val="0"/>
      <w:divBdr>
        <w:top w:val="none" w:sz="0" w:space="0" w:color="auto"/>
        <w:left w:val="none" w:sz="0" w:space="0" w:color="auto"/>
        <w:bottom w:val="none" w:sz="0" w:space="0" w:color="auto"/>
        <w:right w:val="none" w:sz="0" w:space="0" w:color="auto"/>
      </w:divBdr>
    </w:div>
    <w:div w:id="187179265">
      <w:bodyDiv w:val="1"/>
      <w:marLeft w:val="0"/>
      <w:marRight w:val="0"/>
      <w:marTop w:val="0"/>
      <w:marBottom w:val="0"/>
      <w:divBdr>
        <w:top w:val="none" w:sz="0" w:space="0" w:color="auto"/>
        <w:left w:val="none" w:sz="0" w:space="0" w:color="auto"/>
        <w:bottom w:val="none" w:sz="0" w:space="0" w:color="auto"/>
        <w:right w:val="none" w:sz="0" w:space="0" w:color="auto"/>
      </w:divBdr>
    </w:div>
    <w:div w:id="249513183">
      <w:bodyDiv w:val="1"/>
      <w:marLeft w:val="0"/>
      <w:marRight w:val="0"/>
      <w:marTop w:val="0"/>
      <w:marBottom w:val="0"/>
      <w:divBdr>
        <w:top w:val="none" w:sz="0" w:space="0" w:color="auto"/>
        <w:left w:val="none" w:sz="0" w:space="0" w:color="auto"/>
        <w:bottom w:val="none" w:sz="0" w:space="0" w:color="auto"/>
        <w:right w:val="none" w:sz="0" w:space="0" w:color="auto"/>
      </w:divBdr>
    </w:div>
    <w:div w:id="252204182">
      <w:bodyDiv w:val="1"/>
      <w:marLeft w:val="0"/>
      <w:marRight w:val="0"/>
      <w:marTop w:val="0"/>
      <w:marBottom w:val="0"/>
      <w:divBdr>
        <w:top w:val="none" w:sz="0" w:space="0" w:color="auto"/>
        <w:left w:val="none" w:sz="0" w:space="0" w:color="auto"/>
        <w:bottom w:val="none" w:sz="0" w:space="0" w:color="auto"/>
        <w:right w:val="none" w:sz="0" w:space="0" w:color="auto"/>
      </w:divBdr>
    </w:div>
    <w:div w:id="254245197">
      <w:bodyDiv w:val="1"/>
      <w:marLeft w:val="0"/>
      <w:marRight w:val="0"/>
      <w:marTop w:val="0"/>
      <w:marBottom w:val="0"/>
      <w:divBdr>
        <w:top w:val="none" w:sz="0" w:space="0" w:color="auto"/>
        <w:left w:val="none" w:sz="0" w:space="0" w:color="auto"/>
        <w:bottom w:val="none" w:sz="0" w:space="0" w:color="auto"/>
        <w:right w:val="none" w:sz="0" w:space="0" w:color="auto"/>
      </w:divBdr>
    </w:div>
    <w:div w:id="265236299">
      <w:bodyDiv w:val="1"/>
      <w:marLeft w:val="0"/>
      <w:marRight w:val="0"/>
      <w:marTop w:val="0"/>
      <w:marBottom w:val="0"/>
      <w:divBdr>
        <w:top w:val="none" w:sz="0" w:space="0" w:color="auto"/>
        <w:left w:val="none" w:sz="0" w:space="0" w:color="auto"/>
        <w:bottom w:val="none" w:sz="0" w:space="0" w:color="auto"/>
        <w:right w:val="none" w:sz="0" w:space="0" w:color="auto"/>
      </w:divBdr>
    </w:div>
    <w:div w:id="271983922">
      <w:bodyDiv w:val="1"/>
      <w:marLeft w:val="0"/>
      <w:marRight w:val="0"/>
      <w:marTop w:val="0"/>
      <w:marBottom w:val="0"/>
      <w:divBdr>
        <w:top w:val="none" w:sz="0" w:space="0" w:color="auto"/>
        <w:left w:val="none" w:sz="0" w:space="0" w:color="auto"/>
        <w:bottom w:val="none" w:sz="0" w:space="0" w:color="auto"/>
        <w:right w:val="none" w:sz="0" w:space="0" w:color="auto"/>
      </w:divBdr>
    </w:div>
    <w:div w:id="277224668">
      <w:bodyDiv w:val="1"/>
      <w:marLeft w:val="0"/>
      <w:marRight w:val="0"/>
      <w:marTop w:val="0"/>
      <w:marBottom w:val="0"/>
      <w:divBdr>
        <w:top w:val="none" w:sz="0" w:space="0" w:color="auto"/>
        <w:left w:val="none" w:sz="0" w:space="0" w:color="auto"/>
        <w:bottom w:val="none" w:sz="0" w:space="0" w:color="auto"/>
        <w:right w:val="none" w:sz="0" w:space="0" w:color="auto"/>
      </w:divBdr>
    </w:div>
    <w:div w:id="293603333">
      <w:bodyDiv w:val="1"/>
      <w:marLeft w:val="0"/>
      <w:marRight w:val="0"/>
      <w:marTop w:val="0"/>
      <w:marBottom w:val="0"/>
      <w:divBdr>
        <w:top w:val="none" w:sz="0" w:space="0" w:color="auto"/>
        <w:left w:val="none" w:sz="0" w:space="0" w:color="auto"/>
        <w:bottom w:val="none" w:sz="0" w:space="0" w:color="auto"/>
        <w:right w:val="none" w:sz="0" w:space="0" w:color="auto"/>
      </w:divBdr>
    </w:div>
    <w:div w:id="309526618">
      <w:bodyDiv w:val="1"/>
      <w:marLeft w:val="0"/>
      <w:marRight w:val="0"/>
      <w:marTop w:val="0"/>
      <w:marBottom w:val="0"/>
      <w:divBdr>
        <w:top w:val="none" w:sz="0" w:space="0" w:color="auto"/>
        <w:left w:val="none" w:sz="0" w:space="0" w:color="auto"/>
        <w:bottom w:val="none" w:sz="0" w:space="0" w:color="auto"/>
        <w:right w:val="none" w:sz="0" w:space="0" w:color="auto"/>
      </w:divBdr>
    </w:div>
    <w:div w:id="373624173">
      <w:bodyDiv w:val="1"/>
      <w:marLeft w:val="0"/>
      <w:marRight w:val="0"/>
      <w:marTop w:val="0"/>
      <w:marBottom w:val="0"/>
      <w:divBdr>
        <w:top w:val="none" w:sz="0" w:space="0" w:color="auto"/>
        <w:left w:val="none" w:sz="0" w:space="0" w:color="auto"/>
        <w:bottom w:val="none" w:sz="0" w:space="0" w:color="auto"/>
        <w:right w:val="none" w:sz="0" w:space="0" w:color="auto"/>
      </w:divBdr>
    </w:div>
    <w:div w:id="400177095">
      <w:bodyDiv w:val="1"/>
      <w:marLeft w:val="0"/>
      <w:marRight w:val="0"/>
      <w:marTop w:val="0"/>
      <w:marBottom w:val="0"/>
      <w:divBdr>
        <w:top w:val="none" w:sz="0" w:space="0" w:color="auto"/>
        <w:left w:val="none" w:sz="0" w:space="0" w:color="auto"/>
        <w:bottom w:val="none" w:sz="0" w:space="0" w:color="auto"/>
        <w:right w:val="none" w:sz="0" w:space="0" w:color="auto"/>
      </w:divBdr>
    </w:div>
    <w:div w:id="403143745">
      <w:bodyDiv w:val="1"/>
      <w:marLeft w:val="0"/>
      <w:marRight w:val="0"/>
      <w:marTop w:val="0"/>
      <w:marBottom w:val="0"/>
      <w:divBdr>
        <w:top w:val="none" w:sz="0" w:space="0" w:color="auto"/>
        <w:left w:val="none" w:sz="0" w:space="0" w:color="auto"/>
        <w:bottom w:val="none" w:sz="0" w:space="0" w:color="auto"/>
        <w:right w:val="none" w:sz="0" w:space="0" w:color="auto"/>
      </w:divBdr>
    </w:div>
    <w:div w:id="457727217">
      <w:bodyDiv w:val="1"/>
      <w:marLeft w:val="0"/>
      <w:marRight w:val="0"/>
      <w:marTop w:val="0"/>
      <w:marBottom w:val="0"/>
      <w:divBdr>
        <w:top w:val="none" w:sz="0" w:space="0" w:color="auto"/>
        <w:left w:val="none" w:sz="0" w:space="0" w:color="auto"/>
        <w:bottom w:val="none" w:sz="0" w:space="0" w:color="auto"/>
        <w:right w:val="none" w:sz="0" w:space="0" w:color="auto"/>
      </w:divBdr>
    </w:div>
    <w:div w:id="587347774">
      <w:bodyDiv w:val="1"/>
      <w:marLeft w:val="0"/>
      <w:marRight w:val="0"/>
      <w:marTop w:val="0"/>
      <w:marBottom w:val="0"/>
      <w:divBdr>
        <w:top w:val="none" w:sz="0" w:space="0" w:color="auto"/>
        <w:left w:val="none" w:sz="0" w:space="0" w:color="auto"/>
        <w:bottom w:val="none" w:sz="0" w:space="0" w:color="auto"/>
        <w:right w:val="none" w:sz="0" w:space="0" w:color="auto"/>
      </w:divBdr>
    </w:div>
    <w:div w:id="590360327">
      <w:bodyDiv w:val="1"/>
      <w:marLeft w:val="0"/>
      <w:marRight w:val="0"/>
      <w:marTop w:val="0"/>
      <w:marBottom w:val="0"/>
      <w:divBdr>
        <w:top w:val="none" w:sz="0" w:space="0" w:color="auto"/>
        <w:left w:val="none" w:sz="0" w:space="0" w:color="auto"/>
        <w:bottom w:val="none" w:sz="0" w:space="0" w:color="auto"/>
        <w:right w:val="none" w:sz="0" w:space="0" w:color="auto"/>
      </w:divBdr>
    </w:div>
    <w:div w:id="590815026">
      <w:bodyDiv w:val="1"/>
      <w:marLeft w:val="0"/>
      <w:marRight w:val="0"/>
      <w:marTop w:val="0"/>
      <w:marBottom w:val="0"/>
      <w:divBdr>
        <w:top w:val="none" w:sz="0" w:space="0" w:color="auto"/>
        <w:left w:val="none" w:sz="0" w:space="0" w:color="auto"/>
        <w:bottom w:val="none" w:sz="0" w:space="0" w:color="auto"/>
        <w:right w:val="none" w:sz="0" w:space="0" w:color="auto"/>
      </w:divBdr>
    </w:div>
    <w:div w:id="630132161">
      <w:bodyDiv w:val="1"/>
      <w:marLeft w:val="0"/>
      <w:marRight w:val="0"/>
      <w:marTop w:val="0"/>
      <w:marBottom w:val="0"/>
      <w:divBdr>
        <w:top w:val="none" w:sz="0" w:space="0" w:color="auto"/>
        <w:left w:val="none" w:sz="0" w:space="0" w:color="auto"/>
        <w:bottom w:val="none" w:sz="0" w:space="0" w:color="auto"/>
        <w:right w:val="none" w:sz="0" w:space="0" w:color="auto"/>
      </w:divBdr>
    </w:div>
    <w:div w:id="644624895">
      <w:bodyDiv w:val="1"/>
      <w:marLeft w:val="0"/>
      <w:marRight w:val="0"/>
      <w:marTop w:val="0"/>
      <w:marBottom w:val="0"/>
      <w:divBdr>
        <w:top w:val="none" w:sz="0" w:space="0" w:color="auto"/>
        <w:left w:val="none" w:sz="0" w:space="0" w:color="auto"/>
        <w:bottom w:val="none" w:sz="0" w:space="0" w:color="auto"/>
        <w:right w:val="none" w:sz="0" w:space="0" w:color="auto"/>
      </w:divBdr>
    </w:div>
    <w:div w:id="669337963">
      <w:bodyDiv w:val="1"/>
      <w:marLeft w:val="0"/>
      <w:marRight w:val="0"/>
      <w:marTop w:val="0"/>
      <w:marBottom w:val="0"/>
      <w:divBdr>
        <w:top w:val="none" w:sz="0" w:space="0" w:color="auto"/>
        <w:left w:val="none" w:sz="0" w:space="0" w:color="auto"/>
        <w:bottom w:val="none" w:sz="0" w:space="0" w:color="auto"/>
        <w:right w:val="none" w:sz="0" w:space="0" w:color="auto"/>
      </w:divBdr>
    </w:div>
    <w:div w:id="671491124">
      <w:bodyDiv w:val="1"/>
      <w:marLeft w:val="0"/>
      <w:marRight w:val="0"/>
      <w:marTop w:val="0"/>
      <w:marBottom w:val="0"/>
      <w:divBdr>
        <w:top w:val="none" w:sz="0" w:space="0" w:color="auto"/>
        <w:left w:val="none" w:sz="0" w:space="0" w:color="auto"/>
        <w:bottom w:val="none" w:sz="0" w:space="0" w:color="auto"/>
        <w:right w:val="none" w:sz="0" w:space="0" w:color="auto"/>
      </w:divBdr>
    </w:div>
    <w:div w:id="697244926">
      <w:bodyDiv w:val="1"/>
      <w:marLeft w:val="0"/>
      <w:marRight w:val="0"/>
      <w:marTop w:val="0"/>
      <w:marBottom w:val="0"/>
      <w:divBdr>
        <w:top w:val="none" w:sz="0" w:space="0" w:color="auto"/>
        <w:left w:val="none" w:sz="0" w:space="0" w:color="auto"/>
        <w:bottom w:val="none" w:sz="0" w:space="0" w:color="auto"/>
        <w:right w:val="none" w:sz="0" w:space="0" w:color="auto"/>
      </w:divBdr>
    </w:div>
    <w:div w:id="728266363">
      <w:bodyDiv w:val="1"/>
      <w:marLeft w:val="0"/>
      <w:marRight w:val="0"/>
      <w:marTop w:val="0"/>
      <w:marBottom w:val="0"/>
      <w:divBdr>
        <w:top w:val="none" w:sz="0" w:space="0" w:color="auto"/>
        <w:left w:val="none" w:sz="0" w:space="0" w:color="auto"/>
        <w:bottom w:val="none" w:sz="0" w:space="0" w:color="auto"/>
        <w:right w:val="none" w:sz="0" w:space="0" w:color="auto"/>
      </w:divBdr>
    </w:div>
    <w:div w:id="812989979">
      <w:bodyDiv w:val="1"/>
      <w:marLeft w:val="0"/>
      <w:marRight w:val="0"/>
      <w:marTop w:val="0"/>
      <w:marBottom w:val="0"/>
      <w:divBdr>
        <w:top w:val="none" w:sz="0" w:space="0" w:color="auto"/>
        <w:left w:val="none" w:sz="0" w:space="0" w:color="auto"/>
        <w:bottom w:val="none" w:sz="0" w:space="0" w:color="auto"/>
        <w:right w:val="none" w:sz="0" w:space="0" w:color="auto"/>
      </w:divBdr>
    </w:div>
    <w:div w:id="843712594">
      <w:bodyDiv w:val="1"/>
      <w:marLeft w:val="0"/>
      <w:marRight w:val="0"/>
      <w:marTop w:val="0"/>
      <w:marBottom w:val="0"/>
      <w:divBdr>
        <w:top w:val="none" w:sz="0" w:space="0" w:color="auto"/>
        <w:left w:val="none" w:sz="0" w:space="0" w:color="auto"/>
        <w:bottom w:val="none" w:sz="0" w:space="0" w:color="auto"/>
        <w:right w:val="none" w:sz="0" w:space="0" w:color="auto"/>
      </w:divBdr>
    </w:div>
    <w:div w:id="854460587">
      <w:bodyDiv w:val="1"/>
      <w:marLeft w:val="0"/>
      <w:marRight w:val="0"/>
      <w:marTop w:val="0"/>
      <w:marBottom w:val="0"/>
      <w:divBdr>
        <w:top w:val="none" w:sz="0" w:space="0" w:color="auto"/>
        <w:left w:val="none" w:sz="0" w:space="0" w:color="auto"/>
        <w:bottom w:val="none" w:sz="0" w:space="0" w:color="auto"/>
        <w:right w:val="none" w:sz="0" w:space="0" w:color="auto"/>
      </w:divBdr>
    </w:div>
    <w:div w:id="862330334">
      <w:bodyDiv w:val="1"/>
      <w:marLeft w:val="0"/>
      <w:marRight w:val="0"/>
      <w:marTop w:val="0"/>
      <w:marBottom w:val="0"/>
      <w:divBdr>
        <w:top w:val="none" w:sz="0" w:space="0" w:color="auto"/>
        <w:left w:val="none" w:sz="0" w:space="0" w:color="auto"/>
        <w:bottom w:val="none" w:sz="0" w:space="0" w:color="auto"/>
        <w:right w:val="none" w:sz="0" w:space="0" w:color="auto"/>
      </w:divBdr>
    </w:div>
    <w:div w:id="919749085">
      <w:bodyDiv w:val="1"/>
      <w:marLeft w:val="0"/>
      <w:marRight w:val="0"/>
      <w:marTop w:val="0"/>
      <w:marBottom w:val="0"/>
      <w:divBdr>
        <w:top w:val="none" w:sz="0" w:space="0" w:color="auto"/>
        <w:left w:val="none" w:sz="0" w:space="0" w:color="auto"/>
        <w:bottom w:val="none" w:sz="0" w:space="0" w:color="auto"/>
        <w:right w:val="none" w:sz="0" w:space="0" w:color="auto"/>
      </w:divBdr>
    </w:div>
    <w:div w:id="922032585">
      <w:bodyDiv w:val="1"/>
      <w:marLeft w:val="0"/>
      <w:marRight w:val="0"/>
      <w:marTop w:val="0"/>
      <w:marBottom w:val="0"/>
      <w:divBdr>
        <w:top w:val="none" w:sz="0" w:space="0" w:color="auto"/>
        <w:left w:val="none" w:sz="0" w:space="0" w:color="auto"/>
        <w:bottom w:val="none" w:sz="0" w:space="0" w:color="auto"/>
        <w:right w:val="none" w:sz="0" w:space="0" w:color="auto"/>
      </w:divBdr>
    </w:div>
    <w:div w:id="945305913">
      <w:bodyDiv w:val="1"/>
      <w:marLeft w:val="0"/>
      <w:marRight w:val="0"/>
      <w:marTop w:val="0"/>
      <w:marBottom w:val="0"/>
      <w:divBdr>
        <w:top w:val="none" w:sz="0" w:space="0" w:color="auto"/>
        <w:left w:val="none" w:sz="0" w:space="0" w:color="auto"/>
        <w:bottom w:val="none" w:sz="0" w:space="0" w:color="auto"/>
        <w:right w:val="none" w:sz="0" w:space="0" w:color="auto"/>
      </w:divBdr>
    </w:div>
    <w:div w:id="971207878">
      <w:bodyDiv w:val="1"/>
      <w:marLeft w:val="0"/>
      <w:marRight w:val="0"/>
      <w:marTop w:val="0"/>
      <w:marBottom w:val="0"/>
      <w:divBdr>
        <w:top w:val="none" w:sz="0" w:space="0" w:color="auto"/>
        <w:left w:val="none" w:sz="0" w:space="0" w:color="auto"/>
        <w:bottom w:val="none" w:sz="0" w:space="0" w:color="auto"/>
        <w:right w:val="none" w:sz="0" w:space="0" w:color="auto"/>
      </w:divBdr>
    </w:div>
    <w:div w:id="1007824651">
      <w:bodyDiv w:val="1"/>
      <w:marLeft w:val="0"/>
      <w:marRight w:val="0"/>
      <w:marTop w:val="0"/>
      <w:marBottom w:val="0"/>
      <w:divBdr>
        <w:top w:val="none" w:sz="0" w:space="0" w:color="auto"/>
        <w:left w:val="none" w:sz="0" w:space="0" w:color="auto"/>
        <w:bottom w:val="none" w:sz="0" w:space="0" w:color="auto"/>
        <w:right w:val="none" w:sz="0" w:space="0" w:color="auto"/>
      </w:divBdr>
    </w:div>
    <w:div w:id="1042747577">
      <w:bodyDiv w:val="1"/>
      <w:marLeft w:val="0"/>
      <w:marRight w:val="0"/>
      <w:marTop w:val="0"/>
      <w:marBottom w:val="0"/>
      <w:divBdr>
        <w:top w:val="none" w:sz="0" w:space="0" w:color="auto"/>
        <w:left w:val="none" w:sz="0" w:space="0" w:color="auto"/>
        <w:bottom w:val="none" w:sz="0" w:space="0" w:color="auto"/>
        <w:right w:val="none" w:sz="0" w:space="0" w:color="auto"/>
      </w:divBdr>
    </w:div>
    <w:div w:id="1074011936">
      <w:bodyDiv w:val="1"/>
      <w:marLeft w:val="0"/>
      <w:marRight w:val="0"/>
      <w:marTop w:val="0"/>
      <w:marBottom w:val="0"/>
      <w:divBdr>
        <w:top w:val="none" w:sz="0" w:space="0" w:color="auto"/>
        <w:left w:val="none" w:sz="0" w:space="0" w:color="auto"/>
        <w:bottom w:val="none" w:sz="0" w:space="0" w:color="auto"/>
        <w:right w:val="none" w:sz="0" w:space="0" w:color="auto"/>
      </w:divBdr>
    </w:div>
    <w:div w:id="1093474109">
      <w:bodyDiv w:val="1"/>
      <w:marLeft w:val="0"/>
      <w:marRight w:val="0"/>
      <w:marTop w:val="0"/>
      <w:marBottom w:val="0"/>
      <w:divBdr>
        <w:top w:val="none" w:sz="0" w:space="0" w:color="auto"/>
        <w:left w:val="none" w:sz="0" w:space="0" w:color="auto"/>
        <w:bottom w:val="none" w:sz="0" w:space="0" w:color="auto"/>
        <w:right w:val="none" w:sz="0" w:space="0" w:color="auto"/>
      </w:divBdr>
    </w:div>
    <w:div w:id="1120340073">
      <w:bodyDiv w:val="1"/>
      <w:marLeft w:val="0"/>
      <w:marRight w:val="0"/>
      <w:marTop w:val="0"/>
      <w:marBottom w:val="0"/>
      <w:divBdr>
        <w:top w:val="none" w:sz="0" w:space="0" w:color="auto"/>
        <w:left w:val="none" w:sz="0" w:space="0" w:color="auto"/>
        <w:bottom w:val="none" w:sz="0" w:space="0" w:color="auto"/>
        <w:right w:val="none" w:sz="0" w:space="0" w:color="auto"/>
      </w:divBdr>
    </w:div>
    <w:div w:id="1127625520">
      <w:bodyDiv w:val="1"/>
      <w:marLeft w:val="0"/>
      <w:marRight w:val="0"/>
      <w:marTop w:val="0"/>
      <w:marBottom w:val="0"/>
      <w:divBdr>
        <w:top w:val="none" w:sz="0" w:space="0" w:color="auto"/>
        <w:left w:val="none" w:sz="0" w:space="0" w:color="auto"/>
        <w:bottom w:val="none" w:sz="0" w:space="0" w:color="auto"/>
        <w:right w:val="none" w:sz="0" w:space="0" w:color="auto"/>
      </w:divBdr>
    </w:div>
    <w:div w:id="1170024689">
      <w:bodyDiv w:val="1"/>
      <w:marLeft w:val="0"/>
      <w:marRight w:val="0"/>
      <w:marTop w:val="0"/>
      <w:marBottom w:val="0"/>
      <w:divBdr>
        <w:top w:val="none" w:sz="0" w:space="0" w:color="auto"/>
        <w:left w:val="none" w:sz="0" w:space="0" w:color="auto"/>
        <w:bottom w:val="none" w:sz="0" w:space="0" w:color="auto"/>
        <w:right w:val="none" w:sz="0" w:space="0" w:color="auto"/>
      </w:divBdr>
    </w:div>
    <w:div w:id="1170174683">
      <w:bodyDiv w:val="1"/>
      <w:marLeft w:val="0"/>
      <w:marRight w:val="0"/>
      <w:marTop w:val="0"/>
      <w:marBottom w:val="0"/>
      <w:divBdr>
        <w:top w:val="none" w:sz="0" w:space="0" w:color="auto"/>
        <w:left w:val="none" w:sz="0" w:space="0" w:color="auto"/>
        <w:bottom w:val="none" w:sz="0" w:space="0" w:color="auto"/>
        <w:right w:val="none" w:sz="0" w:space="0" w:color="auto"/>
      </w:divBdr>
    </w:div>
    <w:div w:id="1186090209">
      <w:bodyDiv w:val="1"/>
      <w:marLeft w:val="0"/>
      <w:marRight w:val="0"/>
      <w:marTop w:val="0"/>
      <w:marBottom w:val="0"/>
      <w:divBdr>
        <w:top w:val="none" w:sz="0" w:space="0" w:color="auto"/>
        <w:left w:val="none" w:sz="0" w:space="0" w:color="auto"/>
        <w:bottom w:val="none" w:sz="0" w:space="0" w:color="auto"/>
        <w:right w:val="none" w:sz="0" w:space="0" w:color="auto"/>
      </w:divBdr>
    </w:div>
    <w:div w:id="1203323326">
      <w:bodyDiv w:val="1"/>
      <w:marLeft w:val="0"/>
      <w:marRight w:val="0"/>
      <w:marTop w:val="0"/>
      <w:marBottom w:val="0"/>
      <w:divBdr>
        <w:top w:val="none" w:sz="0" w:space="0" w:color="auto"/>
        <w:left w:val="none" w:sz="0" w:space="0" w:color="auto"/>
        <w:bottom w:val="none" w:sz="0" w:space="0" w:color="auto"/>
        <w:right w:val="none" w:sz="0" w:space="0" w:color="auto"/>
      </w:divBdr>
    </w:div>
    <w:div w:id="1264606632">
      <w:bodyDiv w:val="1"/>
      <w:marLeft w:val="0"/>
      <w:marRight w:val="0"/>
      <w:marTop w:val="0"/>
      <w:marBottom w:val="0"/>
      <w:divBdr>
        <w:top w:val="none" w:sz="0" w:space="0" w:color="auto"/>
        <w:left w:val="none" w:sz="0" w:space="0" w:color="auto"/>
        <w:bottom w:val="none" w:sz="0" w:space="0" w:color="auto"/>
        <w:right w:val="none" w:sz="0" w:space="0" w:color="auto"/>
      </w:divBdr>
    </w:div>
    <w:div w:id="1268460322">
      <w:bodyDiv w:val="1"/>
      <w:marLeft w:val="0"/>
      <w:marRight w:val="0"/>
      <w:marTop w:val="0"/>
      <w:marBottom w:val="0"/>
      <w:divBdr>
        <w:top w:val="none" w:sz="0" w:space="0" w:color="auto"/>
        <w:left w:val="none" w:sz="0" w:space="0" w:color="auto"/>
        <w:bottom w:val="none" w:sz="0" w:space="0" w:color="auto"/>
        <w:right w:val="none" w:sz="0" w:space="0" w:color="auto"/>
      </w:divBdr>
    </w:div>
    <w:div w:id="1280332528">
      <w:bodyDiv w:val="1"/>
      <w:marLeft w:val="0"/>
      <w:marRight w:val="0"/>
      <w:marTop w:val="0"/>
      <w:marBottom w:val="0"/>
      <w:divBdr>
        <w:top w:val="none" w:sz="0" w:space="0" w:color="auto"/>
        <w:left w:val="none" w:sz="0" w:space="0" w:color="auto"/>
        <w:bottom w:val="none" w:sz="0" w:space="0" w:color="auto"/>
        <w:right w:val="none" w:sz="0" w:space="0" w:color="auto"/>
      </w:divBdr>
    </w:div>
    <w:div w:id="1319456265">
      <w:bodyDiv w:val="1"/>
      <w:marLeft w:val="0"/>
      <w:marRight w:val="0"/>
      <w:marTop w:val="0"/>
      <w:marBottom w:val="0"/>
      <w:divBdr>
        <w:top w:val="none" w:sz="0" w:space="0" w:color="auto"/>
        <w:left w:val="none" w:sz="0" w:space="0" w:color="auto"/>
        <w:bottom w:val="none" w:sz="0" w:space="0" w:color="auto"/>
        <w:right w:val="none" w:sz="0" w:space="0" w:color="auto"/>
      </w:divBdr>
    </w:div>
    <w:div w:id="1320160437">
      <w:bodyDiv w:val="1"/>
      <w:marLeft w:val="0"/>
      <w:marRight w:val="0"/>
      <w:marTop w:val="0"/>
      <w:marBottom w:val="0"/>
      <w:divBdr>
        <w:top w:val="none" w:sz="0" w:space="0" w:color="auto"/>
        <w:left w:val="none" w:sz="0" w:space="0" w:color="auto"/>
        <w:bottom w:val="none" w:sz="0" w:space="0" w:color="auto"/>
        <w:right w:val="none" w:sz="0" w:space="0" w:color="auto"/>
      </w:divBdr>
      <w:divsChild>
        <w:div w:id="1503275888">
          <w:marLeft w:val="0"/>
          <w:marRight w:val="0"/>
          <w:marTop w:val="0"/>
          <w:marBottom w:val="660"/>
          <w:divBdr>
            <w:top w:val="none" w:sz="0" w:space="0" w:color="auto"/>
            <w:left w:val="none" w:sz="0" w:space="0" w:color="auto"/>
            <w:bottom w:val="none" w:sz="0" w:space="0" w:color="auto"/>
            <w:right w:val="none" w:sz="0" w:space="0" w:color="auto"/>
          </w:divBdr>
          <w:divsChild>
            <w:div w:id="1042173252">
              <w:marLeft w:val="0"/>
              <w:marRight w:val="0"/>
              <w:marTop w:val="0"/>
              <w:marBottom w:val="0"/>
              <w:divBdr>
                <w:top w:val="none" w:sz="0" w:space="0" w:color="auto"/>
                <w:left w:val="none" w:sz="0" w:space="0" w:color="auto"/>
                <w:bottom w:val="none" w:sz="0" w:space="0" w:color="auto"/>
                <w:right w:val="none" w:sz="0" w:space="0" w:color="auto"/>
              </w:divBdr>
              <w:divsChild>
                <w:div w:id="1879658967">
                  <w:marLeft w:val="0"/>
                  <w:marRight w:val="0"/>
                  <w:marTop w:val="0"/>
                  <w:marBottom w:val="450"/>
                  <w:divBdr>
                    <w:top w:val="none" w:sz="0" w:space="0" w:color="auto"/>
                    <w:left w:val="none" w:sz="0" w:space="0" w:color="auto"/>
                    <w:bottom w:val="none" w:sz="0" w:space="0" w:color="auto"/>
                    <w:right w:val="none" w:sz="0" w:space="0" w:color="auto"/>
                  </w:divBdr>
                  <w:divsChild>
                    <w:div w:id="1467315117">
                      <w:marLeft w:val="0"/>
                      <w:marRight w:val="0"/>
                      <w:marTop w:val="0"/>
                      <w:marBottom w:val="0"/>
                      <w:divBdr>
                        <w:top w:val="none" w:sz="0" w:space="0" w:color="auto"/>
                        <w:left w:val="none" w:sz="0" w:space="0" w:color="auto"/>
                        <w:bottom w:val="none" w:sz="0" w:space="0" w:color="auto"/>
                        <w:right w:val="none" w:sz="0" w:space="0" w:color="auto"/>
                      </w:divBdr>
                      <w:divsChild>
                        <w:div w:id="1930305530">
                          <w:marLeft w:val="0"/>
                          <w:marRight w:val="0"/>
                          <w:marTop w:val="0"/>
                          <w:marBottom w:val="0"/>
                          <w:divBdr>
                            <w:top w:val="none" w:sz="0" w:space="0" w:color="auto"/>
                            <w:left w:val="none" w:sz="0" w:space="0" w:color="auto"/>
                            <w:bottom w:val="none" w:sz="0" w:space="0" w:color="auto"/>
                            <w:right w:val="none" w:sz="0" w:space="0" w:color="auto"/>
                          </w:divBdr>
                          <w:divsChild>
                            <w:div w:id="172447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5256374">
          <w:marLeft w:val="0"/>
          <w:marRight w:val="0"/>
          <w:marTop w:val="0"/>
          <w:marBottom w:val="0"/>
          <w:divBdr>
            <w:top w:val="none" w:sz="0" w:space="0" w:color="auto"/>
            <w:left w:val="none" w:sz="0" w:space="0" w:color="auto"/>
            <w:bottom w:val="none" w:sz="0" w:space="0" w:color="auto"/>
            <w:right w:val="none" w:sz="0" w:space="0" w:color="auto"/>
          </w:divBdr>
          <w:divsChild>
            <w:div w:id="1739329220">
              <w:marLeft w:val="0"/>
              <w:marRight w:val="0"/>
              <w:marTop w:val="0"/>
              <w:marBottom w:val="0"/>
              <w:divBdr>
                <w:top w:val="none" w:sz="0" w:space="0" w:color="auto"/>
                <w:left w:val="none" w:sz="0" w:space="0" w:color="auto"/>
                <w:bottom w:val="none" w:sz="0" w:space="0" w:color="auto"/>
                <w:right w:val="none" w:sz="0" w:space="0" w:color="auto"/>
              </w:divBdr>
              <w:divsChild>
                <w:div w:id="755857269">
                  <w:marLeft w:val="0"/>
                  <w:marRight w:val="0"/>
                  <w:marTop w:val="0"/>
                  <w:marBottom w:val="660"/>
                  <w:divBdr>
                    <w:top w:val="none" w:sz="0" w:space="0" w:color="auto"/>
                    <w:left w:val="none" w:sz="0" w:space="0" w:color="auto"/>
                    <w:bottom w:val="none" w:sz="0" w:space="0" w:color="auto"/>
                    <w:right w:val="none" w:sz="0" w:space="0" w:color="auto"/>
                  </w:divBdr>
                  <w:divsChild>
                    <w:div w:id="561408529">
                      <w:marLeft w:val="0"/>
                      <w:marRight w:val="0"/>
                      <w:marTop w:val="0"/>
                      <w:marBottom w:val="0"/>
                      <w:divBdr>
                        <w:top w:val="none" w:sz="0" w:space="0" w:color="auto"/>
                        <w:left w:val="none" w:sz="0" w:space="0" w:color="auto"/>
                        <w:bottom w:val="none" w:sz="0" w:space="0" w:color="auto"/>
                        <w:right w:val="none" w:sz="0" w:space="0" w:color="auto"/>
                      </w:divBdr>
                      <w:divsChild>
                        <w:div w:id="1280601560">
                          <w:marLeft w:val="0"/>
                          <w:marRight w:val="0"/>
                          <w:marTop w:val="0"/>
                          <w:marBottom w:val="0"/>
                          <w:divBdr>
                            <w:top w:val="none" w:sz="0" w:space="0" w:color="auto"/>
                            <w:left w:val="none" w:sz="0" w:space="0" w:color="auto"/>
                            <w:bottom w:val="none" w:sz="0" w:space="0" w:color="auto"/>
                            <w:right w:val="none" w:sz="0" w:space="0" w:color="auto"/>
                          </w:divBdr>
                          <w:divsChild>
                            <w:div w:id="392776828">
                              <w:marLeft w:val="0"/>
                              <w:marRight w:val="0"/>
                              <w:marTop w:val="0"/>
                              <w:marBottom w:val="0"/>
                              <w:divBdr>
                                <w:top w:val="none" w:sz="0" w:space="0" w:color="auto"/>
                                <w:left w:val="none" w:sz="0" w:space="0" w:color="auto"/>
                                <w:bottom w:val="none" w:sz="0" w:space="0" w:color="auto"/>
                                <w:right w:val="none" w:sz="0" w:space="0" w:color="auto"/>
                              </w:divBdr>
                              <w:divsChild>
                                <w:div w:id="1462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283373">
      <w:bodyDiv w:val="1"/>
      <w:marLeft w:val="0"/>
      <w:marRight w:val="0"/>
      <w:marTop w:val="0"/>
      <w:marBottom w:val="0"/>
      <w:divBdr>
        <w:top w:val="none" w:sz="0" w:space="0" w:color="auto"/>
        <w:left w:val="none" w:sz="0" w:space="0" w:color="auto"/>
        <w:bottom w:val="none" w:sz="0" w:space="0" w:color="auto"/>
        <w:right w:val="none" w:sz="0" w:space="0" w:color="auto"/>
      </w:divBdr>
    </w:div>
    <w:div w:id="1325816678">
      <w:bodyDiv w:val="1"/>
      <w:marLeft w:val="0"/>
      <w:marRight w:val="0"/>
      <w:marTop w:val="0"/>
      <w:marBottom w:val="0"/>
      <w:divBdr>
        <w:top w:val="none" w:sz="0" w:space="0" w:color="auto"/>
        <w:left w:val="none" w:sz="0" w:space="0" w:color="auto"/>
        <w:bottom w:val="none" w:sz="0" w:space="0" w:color="auto"/>
        <w:right w:val="none" w:sz="0" w:space="0" w:color="auto"/>
      </w:divBdr>
    </w:div>
    <w:div w:id="1335764246">
      <w:bodyDiv w:val="1"/>
      <w:marLeft w:val="0"/>
      <w:marRight w:val="0"/>
      <w:marTop w:val="0"/>
      <w:marBottom w:val="0"/>
      <w:divBdr>
        <w:top w:val="none" w:sz="0" w:space="0" w:color="auto"/>
        <w:left w:val="none" w:sz="0" w:space="0" w:color="auto"/>
        <w:bottom w:val="none" w:sz="0" w:space="0" w:color="auto"/>
        <w:right w:val="none" w:sz="0" w:space="0" w:color="auto"/>
      </w:divBdr>
    </w:div>
    <w:div w:id="1384207550">
      <w:bodyDiv w:val="1"/>
      <w:marLeft w:val="0"/>
      <w:marRight w:val="0"/>
      <w:marTop w:val="0"/>
      <w:marBottom w:val="0"/>
      <w:divBdr>
        <w:top w:val="none" w:sz="0" w:space="0" w:color="auto"/>
        <w:left w:val="none" w:sz="0" w:space="0" w:color="auto"/>
        <w:bottom w:val="none" w:sz="0" w:space="0" w:color="auto"/>
        <w:right w:val="none" w:sz="0" w:space="0" w:color="auto"/>
      </w:divBdr>
    </w:div>
    <w:div w:id="1485656526">
      <w:bodyDiv w:val="1"/>
      <w:marLeft w:val="0"/>
      <w:marRight w:val="0"/>
      <w:marTop w:val="0"/>
      <w:marBottom w:val="0"/>
      <w:divBdr>
        <w:top w:val="none" w:sz="0" w:space="0" w:color="auto"/>
        <w:left w:val="none" w:sz="0" w:space="0" w:color="auto"/>
        <w:bottom w:val="none" w:sz="0" w:space="0" w:color="auto"/>
        <w:right w:val="none" w:sz="0" w:space="0" w:color="auto"/>
      </w:divBdr>
    </w:div>
    <w:div w:id="1568954355">
      <w:bodyDiv w:val="1"/>
      <w:marLeft w:val="0"/>
      <w:marRight w:val="0"/>
      <w:marTop w:val="0"/>
      <w:marBottom w:val="0"/>
      <w:divBdr>
        <w:top w:val="none" w:sz="0" w:space="0" w:color="auto"/>
        <w:left w:val="none" w:sz="0" w:space="0" w:color="auto"/>
        <w:bottom w:val="none" w:sz="0" w:space="0" w:color="auto"/>
        <w:right w:val="none" w:sz="0" w:space="0" w:color="auto"/>
      </w:divBdr>
    </w:div>
    <w:div w:id="1582175012">
      <w:bodyDiv w:val="1"/>
      <w:marLeft w:val="0"/>
      <w:marRight w:val="0"/>
      <w:marTop w:val="0"/>
      <w:marBottom w:val="0"/>
      <w:divBdr>
        <w:top w:val="none" w:sz="0" w:space="0" w:color="auto"/>
        <w:left w:val="none" w:sz="0" w:space="0" w:color="auto"/>
        <w:bottom w:val="none" w:sz="0" w:space="0" w:color="auto"/>
        <w:right w:val="none" w:sz="0" w:space="0" w:color="auto"/>
      </w:divBdr>
    </w:div>
    <w:div w:id="1600333954">
      <w:bodyDiv w:val="1"/>
      <w:marLeft w:val="0"/>
      <w:marRight w:val="0"/>
      <w:marTop w:val="0"/>
      <w:marBottom w:val="0"/>
      <w:divBdr>
        <w:top w:val="none" w:sz="0" w:space="0" w:color="auto"/>
        <w:left w:val="none" w:sz="0" w:space="0" w:color="auto"/>
        <w:bottom w:val="none" w:sz="0" w:space="0" w:color="auto"/>
        <w:right w:val="none" w:sz="0" w:space="0" w:color="auto"/>
      </w:divBdr>
    </w:div>
    <w:div w:id="1603147191">
      <w:bodyDiv w:val="1"/>
      <w:marLeft w:val="0"/>
      <w:marRight w:val="0"/>
      <w:marTop w:val="0"/>
      <w:marBottom w:val="0"/>
      <w:divBdr>
        <w:top w:val="none" w:sz="0" w:space="0" w:color="auto"/>
        <w:left w:val="none" w:sz="0" w:space="0" w:color="auto"/>
        <w:bottom w:val="none" w:sz="0" w:space="0" w:color="auto"/>
        <w:right w:val="none" w:sz="0" w:space="0" w:color="auto"/>
      </w:divBdr>
    </w:div>
    <w:div w:id="1645158166">
      <w:bodyDiv w:val="1"/>
      <w:marLeft w:val="0"/>
      <w:marRight w:val="0"/>
      <w:marTop w:val="0"/>
      <w:marBottom w:val="0"/>
      <w:divBdr>
        <w:top w:val="none" w:sz="0" w:space="0" w:color="auto"/>
        <w:left w:val="none" w:sz="0" w:space="0" w:color="auto"/>
        <w:bottom w:val="none" w:sz="0" w:space="0" w:color="auto"/>
        <w:right w:val="none" w:sz="0" w:space="0" w:color="auto"/>
      </w:divBdr>
    </w:div>
    <w:div w:id="1654602594">
      <w:bodyDiv w:val="1"/>
      <w:marLeft w:val="0"/>
      <w:marRight w:val="0"/>
      <w:marTop w:val="0"/>
      <w:marBottom w:val="0"/>
      <w:divBdr>
        <w:top w:val="none" w:sz="0" w:space="0" w:color="auto"/>
        <w:left w:val="none" w:sz="0" w:space="0" w:color="auto"/>
        <w:bottom w:val="none" w:sz="0" w:space="0" w:color="auto"/>
        <w:right w:val="none" w:sz="0" w:space="0" w:color="auto"/>
      </w:divBdr>
    </w:div>
    <w:div w:id="1654675703">
      <w:bodyDiv w:val="1"/>
      <w:marLeft w:val="0"/>
      <w:marRight w:val="0"/>
      <w:marTop w:val="0"/>
      <w:marBottom w:val="0"/>
      <w:divBdr>
        <w:top w:val="none" w:sz="0" w:space="0" w:color="auto"/>
        <w:left w:val="none" w:sz="0" w:space="0" w:color="auto"/>
        <w:bottom w:val="none" w:sz="0" w:space="0" w:color="auto"/>
        <w:right w:val="none" w:sz="0" w:space="0" w:color="auto"/>
      </w:divBdr>
    </w:div>
    <w:div w:id="1719818629">
      <w:bodyDiv w:val="1"/>
      <w:marLeft w:val="0"/>
      <w:marRight w:val="0"/>
      <w:marTop w:val="0"/>
      <w:marBottom w:val="0"/>
      <w:divBdr>
        <w:top w:val="none" w:sz="0" w:space="0" w:color="auto"/>
        <w:left w:val="none" w:sz="0" w:space="0" w:color="auto"/>
        <w:bottom w:val="none" w:sz="0" w:space="0" w:color="auto"/>
        <w:right w:val="none" w:sz="0" w:space="0" w:color="auto"/>
      </w:divBdr>
    </w:div>
    <w:div w:id="1727023444">
      <w:bodyDiv w:val="1"/>
      <w:marLeft w:val="0"/>
      <w:marRight w:val="0"/>
      <w:marTop w:val="0"/>
      <w:marBottom w:val="0"/>
      <w:divBdr>
        <w:top w:val="none" w:sz="0" w:space="0" w:color="auto"/>
        <w:left w:val="none" w:sz="0" w:space="0" w:color="auto"/>
        <w:bottom w:val="none" w:sz="0" w:space="0" w:color="auto"/>
        <w:right w:val="none" w:sz="0" w:space="0" w:color="auto"/>
      </w:divBdr>
    </w:div>
    <w:div w:id="1733964098">
      <w:bodyDiv w:val="1"/>
      <w:marLeft w:val="0"/>
      <w:marRight w:val="0"/>
      <w:marTop w:val="0"/>
      <w:marBottom w:val="0"/>
      <w:divBdr>
        <w:top w:val="none" w:sz="0" w:space="0" w:color="auto"/>
        <w:left w:val="none" w:sz="0" w:space="0" w:color="auto"/>
        <w:bottom w:val="none" w:sz="0" w:space="0" w:color="auto"/>
        <w:right w:val="none" w:sz="0" w:space="0" w:color="auto"/>
      </w:divBdr>
    </w:div>
    <w:div w:id="1781685179">
      <w:bodyDiv w:val="1"/>
      <w:marLeft w:val="0"/>
      <w:marRight w:val="0"/>
      <w:marTop w:val="0"/>
      <w:marBottom w:val="0"/>
      <w:divBdr>
        <w:top w:val="none" w:sz="0" w:space="0" w:color="auto"/>
        <w:left w:val="none" w:sz="0" w:space="0" w:color="auto"/>
        <w:bottom w:val="none" w:sz="0" w:space="0" w:color="auto"/>
        <w:right w:val="none" w:sz="0" w:space="0" w:color="auto"/>
      </w:divBdr>
    </w:div>
    <w:div w:id="1816952418">
      <w:bodyDiv w:val="1"/>
      <w:marLeft w:val="0"/>
      <w:marRight w:val="0"/>
      <w:marTop w:val="0"/>
      <w:marBottom w:val="0"/>
      <w:divBdr>
        <w:top w:val="none" w:sz="0" w:space="0" w:color="auto"/>
        <w:left w:val="none" w:sz="0" w:space="0" w:color="auto"/>
        <w:bottom w:val="none" w:sz="0" w:space="0" w:color="auto"/>
        <w:right w:val="none" w:sz="0" w:space="0" w:color="auto"/>
      </w:divBdr>
    </w:div>
    <w:div w:id="1839996147">
      <w:bodyDiv w:val="1"/>
      <w:marLeft w:val="0"/>
      <w:marRight w:val="0"/>
      <w:marTop w:val="0"/>
      <w:marBottom w:val="0"/>
      <w:divBdr>
        <w:top w:val="none" w:sz="0" w:space="0" w:color="auto"/>
        <w:left w:val="none" w:sz="0" w:space="0" w:color="auto"/>
        <w:bottom w:val="none" w:sz="0" w:space="0" w:color="auto"/>
        <w:right w:val="none" w:sz="0" w:space="0" w:color="auto"/>
      </w:divBdr>
    </w:div>
    <w:div w:id="1874682875">
      <w:bodyDiv w:val="1"/>
      <w:marLeft w:val="0"/>
      <w:marRight w:val="0"/>
      <w:marTop w:val="0"/>
      <w:marBottom w:val="0"/>
      <w:divBdr>
        <w:top w:val="none" w:sz="0" w:space="0" w:color="auto"/>
        <w:left w:val="none" w:sz="0" w:space="0" w:color="auto"/>
        <w:bottom w:val="none" w:sz="0" w:space="0" w:color="auto"/>
        <w:right w:val="none" w:sz="0" w:space="0" w:color="auto"/>
      </w:divBdr>
    </w:div>
    <w:div w:id="1897931776">
      <w:bodyDiv w:val="1"/>
      <w:marLeft w:val="0"/>
      <w:marRight w:val="0"/>
      <w:marTop w:val="0"/>
      <w:marBottom w:val="0"/>
      <w:divBdr>
        <w:top w:val="none" w:sz="0" w:space="0" w:color="auto"/>
        <w:left w:val="none" w:sz="0" w:space="0" w:color="auto"/>
        <w:bottom w:val="none" w:sz="0" w:space="0" w:color="auto"/>
        <w:right w:val="none" w:sz="0" w:space="0" w:color="auto"/>
      </w:divBdr>
      <w:divsChild>
        <w:div w:id="1511675326">
          <w:marLeft w:val="0"/>
          <w:marRight w:val="0"/>
          <w:marTop w:val="0"/>
          <w:marBottom w:val="0"/>
          <w:divBdr>
            <w:top w:val="none" w:sz="0" w:space="0" w:color="auto"/>
            <w:left w:val="none" w:sz="0" w:space="0" w:color="auto"/>
            <w:bottom w:val="none" w:sz="0" w:space="0" w:color="auto"/>
            <w:right w:val="none" w:sz="0" w:space="0" w:color="auto"/>
          </w:divBdr>
        </w:div>
      </w:divsChild>
    </w:div>
    <w:div w:id="1914312142">
      <w:bodyDiv w:val="1"/>
      <w:marLeft w:val="0"/>
      <w:marRight w:val="0"/>
      <w:marTop w:val="0"/>
      <w:marBottom w:val="0"/>
      <w:divBdr>
        <w:top w:val="none" w:sz="0" w:space="0" w:color="auto"/>
        <w:left w:val="none" w:sz="0" w:space="0" w:color="auto"/>
        <w:bottom w:val="none" w:sz="0" w:space="0" w:color="auto"/>
        <w:right w:val="none" w:sz="0" w:space="0" w:color="auto"/>
      </w:divBdr>
    </w:div>
    <w:div w:id="2014338404">
      <w:bodyDiv w:val="1"/>
      <w:marLeft w:val="0"/>
      <w:marRight w:val="0"/>
      <w:marTop w:val="0"/>
      <w:marBottom w:val="0"/>
      <w:divBdr>
        <w:top w:val="none" w:sz="0" w:space="0" w:color="auto"/>
        <w:left w:val="none" w:sz="0" w:space="0" w:color="auto"/>
        <w:bottom w:val="none" w:sz="0" w:space="0" w:color="auto"/>
        <w:right w:val="none" w:sz="0" w:space="0" w:color="auto"/>
      </w:divBdr>
    </w:div>
    <w:div w:id="2025932761">
      <w:bodyDiv w:val="1"/>
      <w:marLeft w:val="0"/>
      <w:marRight w:val="0"/>
      <w:marTop w:val="0"/>
      <w:marBottom w:val="0"/>
      <w:divBdr>
        <w:top w:val="none" w:sz="0" w:space="0" w:color="auto"/>
        <w:left w:val="none" w:sz="0" w:space="0" w:color="auto"/>
        <w:bottom w:val="none" w:sz="0" w:space="0" w:color="auto"/>
        <w:right w:val="none" w:sz="0" w:space="0" w:color="auto"/>
      </w:divBdr>
    </w:div>
    <w:div w:id="2077438870">
      <w:bodyDiv w:val="1"/>
      <w:marLeft w:val="0"/>
      <w:marRight w:val="0"/>
      <w:marTop w:val="0"/>
      <w:marBottom w:val="0"/>
      <w:divBdr>
        <w:top w:val="none" w:sz="0" w:space="0" w:color="auto"/>
        <w:left w:val="none" w:sz="0" w:space="0" w:color="auto"/>
        <w:bottom w:val="none" w:sz="0" w:space="0" w:color="auto"/>
        <w:right w:val="none" w:sz="0" w:space="0" w:color="auto"/>
      </w:divBdr>
    </w:div>
    <w:div w:id="20777734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FB52F4-B8FF-463F-A541-33B0463616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Eugênio Tamez Lazaro</dc:creator>
  <cp:keywords/>
  <dc:description/>
  <cp:lastModifiedBy>Rafael Eugênio Tamez Lazaro</cp:lastModifiedBy>
  <cp:revision>38</cp:revision>
  <cp:lastPrinted>2025-02-17T14:29:00Z</cp:lastPrinted>
  <dcterms:created xsi:type="dcterms:W3CDTF">2025-10-27T16:22:00Z</dcterms:created>
  <dcterms:modified xsi:type="dcterms:W3CDTF">2025-12-17T15:30:00Z</dcterms:modified>
</cp:coreProperties>
</file>