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595959"/>
          <w:sz w:val="22"/>
        </w:rPr>
        <w:t>Expediente de validación retrospectiva de sistema computarizado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Código del documento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FAM-SPI-VAL-IQ-2026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Compañía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Famproject Cia. Ltda.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Sistema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FamSPI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Elaborado por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Departamento de Tecnologías de la Información y Comunicación (TICS)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Versión documental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2026.1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Fecha de emisión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22/07/2026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Norma base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WHO TRS 1019 Annex 3, Appendix 5 - Validation of computerized systems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Norma de integridad de datos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WHO TRS 1033 Annex 4 - Guideline on data integrity (ALCOA+)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Fase de calificación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Installation Qualification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Clasificación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Confidencial - uso interno controlado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Estado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Borrador controlado para revisión/aprobación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0F4761"/>
                <w:sz w:val="20"/>
              </w:rPr>
              <w:t>Demostrar que infraestructura, componentes, dependencias, rutas, variables y despliegues están instalados bajo control.</w:t>
            </w:r>
          </w:p>
        </w:tc>
      </w:tr>
    </w:tbl>
    <w:p/>
    <w:p>
      <w:r>
        <w:br w:type="page"/>
      </w:r>
    </w:p>
    <w:p>
      <w:pPr>
        <w:pStyle w:val="Heading1"/>
      </w:pPr>
      <w:r>
        <w:t>Historial de cambios del documento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020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1247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608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Autor</w:t>
            </w:r>
          </w:p>
        </w:tc>
        <w:tc>
          <w:tcPr>
            <w:tcW w:type="dxa" w:w="3628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Descripción del cambio</w:t>
            </w:r>
          </w:p>
        </w:tc>
        <w:tc>
          <w:tcPr>
            <w:tcW w:type="dxa" w:w="1020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2026.1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22/07/2026</w:t>
            </w:r>
          </w:p>
        </w:tc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Departamento de Tecnologías de la Información y Comunicación (TICS)</w:t>
            </w:r>
          </w:p>
        </w:tc>
        <w:tc>
          <w:tcPr>
            <w:tcW w:type="dxa" w:w="362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Emisión inicial del expediente retrospectivo generado con evidencia real (suite de pruebas, historial de git y configuración vigente).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Borrador controlado</w:t>
            </w:r>
          </w:p>
        </w:tc>
      </w:tr>
    </w:tbl>
    <w:p/>
    <w:p>
      <w:pPr>
        <w:pStyle w:val="Heading1"/>
      </w:pPr>
      <w:r>
        <w:t>Contenido</w:t>
      </w:r>
    </w:p>
    <w:p>
      <w:r>
        <w:fldChar w:fldCharType="begin"/>
        <w:instrText xml:space="preserve">TOC \o "1-3" \h \z \u</w:instrText>
        <w:fldChar w:fldCharType="separate"/>
        <w:t>Actualice el indice en Word: clic derecho sobre esta tabla &gt; Actualizar campos (o F9).</w:t>
        <w:fldChar w:fldCharType="end"/>
      </w:r>
    </w:p>
    <w:p>
      <w:r>
        <w:br w:type="page"/>
      </w:r>
    </w:p>
    <w:p>
      <w:pPr>
        <w:pStyle w:val="Heading1"/>
      </w:pPr>
      <w:r>
        <w:t>Definiciones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984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Término / abreviatura</w:t>
            </w:r>
          </w:p>
        </w:tc>
        <w:tc>
          <w:tcPr>
            <w:tcW w:type="dxa" w:w="7370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Definición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DQ / IQ / OQ / PQ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Calificación de Diseño / Instalación / Operación / Desempeño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URS / FRS / DS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Especificación de Requisitos de Usuario / Funcional / de Diseño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RTM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Matriz de Trazabilidad de Requisitos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UAT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Prueba de Aceptación de Usuario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RBAC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Control de Acceso Basado en Roles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JWT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JSON Web Token (autenticación sin sesión persistente)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ALCOA+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Atribuible, Legible, Contemporaneo, Original, Exacto (+ Completo, Consistente, Duradero, Disponible)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DIRA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Evaluación de Riesgo de Integridad de Datos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GxP / GMP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Buenas Prácticas reguladas / Buenas Prácticas de Manufactura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CAPA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Acción Correctiva y Preventiva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SOP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Procedimiento Operativo Estandar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TICS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Departamento de Tecnologías de la Información y Comunicación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WHO / OMS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Organización Mundial de la Salud (TRS 1019 Annex 3; TRS 1033 Annex 4)</w:t>
            </w:r>
          </w:p>
        </w:tc>
      </w:tr>
    </w:tbl>
    <w:p/>
    <w:p>
      <w:pPr>
        <w:pStyle w:val="Heading1"/>
      </w:pPr>
      <w:r>
        <w:t>Control documental retrospectivo (WHO §8)</w:t>
      </w:r>
    </w:p>
    <w:p>
      <w:r>
        <w:rPr>
          <w:b/>
          <w:color w:val="0F4761"/>
          <w:sz w:val="24"/>
        </w:rPr>
        <w:t>DOCUMENTO RETROSPECTIVO</w:t>
      </w:r>
    </w:p>
    <w:p>
      <w:r>
        <w:t>Este documento fue reconstruido en la fecha real indicada, sobre un sistema ya operativo. No representa una aprobación emitida antes de la instalación original y no contiene firmas ni fechas retrofechadas. Su contenido describe el uso y la configuración vigentes (as-is), verificados contra el código, la suite de pruebas y el historial real del sistema.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551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 (WHO §8)</w:t>
            </w:r>
          </w:p>
        </w:tc>
        <w:tc>
          <w:tcPr>
            <w:tcW w:type="dxa" w:w="6803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Contenido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Tipo de documento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Reconstrucción retrospectiva del estado actual (as-is).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Fecha real de elaboración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22/07/2026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Periodo histórico evaluado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01/08/2025 a 22/07/2026 (12 meses de historial de cambios y operación cubiertos por el control de versiones git y la pista de auditoría del sistema)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Versión/configuración evaluada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Línea base productiva declarada por TICS al 22/07/2026 (working tree vigente del repositorio FamSPI).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Fuentes de reconstrucción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Código real (registerRoutes.js, AppRoutes.jsx), suite Jest ejecutada, historial de git, CONTEXT.md/AGENTS.md por módulo y tickets TI.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Supuestos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El working tree evaluado corresponde a lo desplegado; los módulos con mantenimiento activo reciente permanecen bajo control; la pista de auditoría del sistema no fue deshabilitada durante el periodo.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Limitaciones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 de 54 módulos en alcance no tienen prueba de verificación directa y se sustentan con evidencia de mantenimiento (brecha declarada, WHO §12.8); la línea base es el working tree vigente y no un commit congelado; algunos requisitos se infieren del historial (tipo H).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Observado directamente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Rutas montadas, resultados de pruebas, configuración de seguridad, estructura modular y evidencia de cambios en git.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Inferido y sustentado por historial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Requisitos operativos de módulos sin prueba de verificación directa, cubiertos por evidencia de mantenimiento y riesgo declarado.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Responsable de verificar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Departamento de Tecnologías de la Información y Comunicación (TICS)</w:t>
            </w:r>
          </w:p>
        </w:tc>
      </w:tr>
    </w:tbl>
    <w:p/>
    <w:p>
      <w:pPr>
        <w:pStyle w:val="Heading1"/>
      </w:pPr>
      <w:r>
        <w:t>Alineación con WHO Appendix 5</w:t>
      </w:r>
    </w:p>
    <w:p>
      <w:r>
        <w:t>Este documento usa WHO TRS 1019 Annex 3 Appendix 5 como marco para validación de sistemas computarizados. Para FamSPI se aplica con enfoque retrospectivo: se parte del sistema productivo existente, se documentan brechas y se confirma el estado de control actual.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685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Elemento WHO Appendix 5</w:t>
            </w:r>
          </w:p>
        </w:tc>
        <w:tc>
          <w:tcPr>
            <w:tcW w:type="dxa" w:w="5669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Aplicación en FamSPI</w:t>
            </w:r>
          </w:p>
        </w:tc>
      </w:tr>
      <w:tr>
        <w:tc>
          <w:tcPr>
            <w:tcW w:type="dxa" w:w="368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Desarrollo del proyecto e implementación</w:t>
            </w:r>
          </w:p>
        </w:tc>
        <w:tc>
          <w:tcPr>
            <w:tcW w:type="dxa" w:w="566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Incluido como criterio de evidencia, revisión o aceptación.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Installation qualification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Incluido como criterio de evidencia, revisión o aceptación.</w:t>
            </w:r>
          </w:p>
        </w:tc>
      </w:tr>
      <w:tr>
        <w:tc>
          <w:tcPr>
            <w:tcW w:type="dxa" w:w="368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Control documental</w:t>
            </w:r>
          </w:p>
        </w:tc>
        <w:tc>
          <w:tcPr>
            <w:tcW w:type="dxa" w:w="566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Incluido como criterio de evidencia, revisión o aceptación.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Evidencia de instalación y configuración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Incluido como criterio de evidencia, revisión o aceptación.</w:t>
            </w:r>
          </w:p>
        </w:tc>
      </w:tr>
    </w:tbl>
    <w:p/>
    <w:p>
      <w:pPr>
        <w:pStyle w:val="Heading1"/>
      </w:pPr>
      <w:r>
        <w:t>Estrategia retrospectiva</w:t>
      </w:r>
    </w:p>
    <w:p>
      <w:r>
        <w:t>La validación retrospectiva no se limita a históricos. La evidencia histórica se acepta solo cuando demuestra que el estado actual del sistema sigue bajo control y que las prácticas, parámetros y procesos no cambiaron de forma que invaliden la conclusión.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268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3628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Criterio de revisión</w:t>
            </w:r>
          </w:p>
        </w:tc>
        <w:tc>
          <w:tcPr>
            <w:tcW w:type="dxa" w:w="3458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Evaluación de riesgo</w:t>
            </w:r>
          </w:p>
        </w:tc>
        <w:tc>
          <w:tcPr>
            <w:tcW w:type="dxa" w:w="362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Determinar criticidad GxP/negocio por módulo, datos, aprobaciones y trazabilidad.</w:t>
            </w:r>
          </w:p>
        </w:tc>
        <w:tc>
          <w:tcPr>
            <w:tcW w:type="dxa" w:w="345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Matriz de riesgo, impacto por módulo, justificación de alcance.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Análisis de brechas</w:t>
            </w:r>
          </w:p>
        </w:tc>
        <w:tc>
          <w:tcPr>
            <w:tcW w:type="dxa" w:w="362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Comparar evidencia disponible contra URS, DQ, IQ, OQ, PQ, SOP y entrenamiento.</w:t>
            </w:r>
          </w:p>
        </w:tc>
        <w:tc>
          <w:tcPr>
            <w:tcW w:type="dxa" w:w="345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Gap log con responsable, fecha objetivo, severidad y decisión CAPA.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Historia de uso</w:t>
            </w:r>
          </w:p>
        </w:tc>
        <w:tc>
          <w:tcPr>
            <w:tcW w:type="dxa" w:w="362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Revisar uso real, incidentes, errores, mantenimiento y cambios ejecutados.</w:t>
            </w:r>
          </w:p>
        </w:tc>
        <w:tc>
          <w:tcPr>
            <w:tcW w:type="dxa" w:w="345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Historial de tickets TI, códigos support_tickets.code, commits, despliegues, bitacoras y errores relevantes.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Control de cambios con ticket TI</w:t>
            </w:r>
          </w:p>
        </w:tc>
        <w:tc>
          <w:tcPr>
            <w:tcW w:type="dxa" w:w="362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Confirmar que cada cambio validado tiene ticket TI asociado y ciclo verificable.</w:t>
            </w:r>
          </w:p>
        </w:tc>
        <w:tc>
          <w:tcPr>
            <w:tcW w:type="dxa" w:w="345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Ticket en support_tickets, eventos en support_ticket_events, comentarios, estado resuelto/cerrado o cancelación justificada.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Estado de control</w:t>
            </w:r>
          </w:p>
        </w:tc>
        <w:tc>
          <w:tcPr>
            <w:tcW w:type="dxa" w:w="362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Confirmar que parámetros actuales, roles, rutas, procesos y prácticas siguen vigentes.</w:t>
            </w:r>
          </w:p>
        </w:tc>
        <w:tc>
          <w:tcPr>
            <w:tcW w:type="dxa" w:w="345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Revisión de configuración actual y comparación contra operación validada.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Requerimientos y descripción</w:t>
            </w:r>
          </w:p>
        </w:tc>
        <w:tc>
          <w:tcPr>
            <w:tcW w:type="dxa" w:w="362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Mantener URS, descripción del sistema, arquitectura y límites del sistema actualizados.</w:t>
            </w:r>
          </w:p>
        </w:tc>
        <w:tc>
          <w:tcPr>
            <w:tcW w:type="dxa" w:w="345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URS aprobada, mapa de módulos, flujos, APIs, tablas y responsabilidades.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Aceptación técnica</w:t>
            </w:r>
          </w:p>
        </w:tc>
        <w:tc>
          <w:tcPr>
            <w:tcW w:type="dxa" w:w="362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Evidenciar aceptación de software, hardware, red, perifericos, procesos e integraciones.</w:t>
            </w:r>
          </w:p>
        </w:tc>
        <w:tc>
          <w:tcPr>
            <w:tcW w:type="dxa" w:w="345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IQ/OQ/PQ, pruebas de regresion, evidencia de despliegue y aceptación de usuarios.</w:t>
            </w:r>
          </w:p>
        </w:tc>
      </w:tr>
    </w:tbl>
    <w:p/>
    <w:p>
      <w:pPr>
        <w:pStyle w:val="Heading1"/>
      </w:pPr>
      <w:r>
        <w:t>Implementación IQ</w:t>
      </w:r>
    </w:p>
    <w:p>
      <w:r>
        <w:t>Documento vigente de calificación de instalación e implementación de FamSPI.</w:t>
      </w:r>
    </w:p>
    <w:p>
      <w:r>
        <w:t>Fecha de emisión: 16 de julio de 2026</w:t>
      </w:r>
    </w:p>
    <w:p>
      <w:pPr>
        <w:pStyle w:val="Heading2"/>
      </w:pPr>
      <w:r>
        <w:t>1. Objetivo</w:t>
      </w:r>
    </w:p>
    <w:p>
      <w:r>
        <w:t>Verificar que el entorno, los componentes, la configuración y las dependencias necesarias para FamSPI esten correctamente instaladas e identificadas antes de ejecutar pruebas funcionales controladas.</w:t>
      </w:r>
    </w:p>
    <w:p>
      <w:pPr>
        <w:pStyle w:val="Heading2"/>
      </w:pPr>
      <w:r>
        <w:t>2. Alcance IQ</w:t>
      </w:r>
    </w:p>
    <w:p>
      <w:r>
        <w:t>IQ aplica sobre:</w:t>
      </w:r>
    </w:p>
    <w:p>
      <w:pPr>
        <w:pStyle w:val="ListBullet"/>
      </w:pPr>
      <w:r>
        <w:t>backend desplegado,</w:t>
      </w:r>
    </w:p>
    <w:p>
      <w:pPr>
        <w:pStyle w:val="ListBullet"/>
      </w:pPr>
      <w:r>
        <w:t>frontend desplegado,</w:t>
      </w:r>
    </w:p>
    <w:p>
      <w:pPr>
        <w:pStyle w:val="ListBullet"/>
      </w:pPr>
      <w:r>
        <w:t>base de datos y schemas en uso,</w:t>
      </w:r>
    </w:p>
    <w:p>
      <w:pPr>
        <w:pStyle w:val="ListBullet"/>
      </w:pPr>
      <w:r>
        <w:t>variables de entorno y secretos,</w:t>
      </w:r>
    </w:p>
    <w:p>
      <w:pPr>
        <w:pStyle w:val="ListBullet"/>
      </w:pPr>
      <w:r>
        <w:t>rutas públicas y privadas activas,</w:t>
      </w:r>
    </w:p>
    <w:p>
      <w:pPr>
        <w:pStyle w:val="ListBullet"/>
      </w:pPr>
      <w:r>
        <w:t>jobs internos,</w:t>
      </w:r>
    </w:p>
    <w:p>
      <w:pPr>
        <w:pStyle w:val="ListBullet"/>
      </w:pPr>
      <w:r>
        <w:t>integraciones externas requeridas para el alcance validado,</w:t>
      </w:r>
    </w:p>
    <w:p>
      <w:pPr>
        <w:pStyle w:val="ListBullet"/>
      </w:pPr>
      <w:r>
        <w:t>controles de acceso base y usuarios de prueba.</w:t>
      </w:r>
    </w:p>
    <w:p>
      <w:pPr>
        <w:pStyle w:val="Heading2"/>
      </w:pPr>
      <w:r>
        <w:t>3. Evidencia mínima requerida</w:t>
      </w:r>
    </w:p>
    <w:p>
      <w:pPr>
        <w:pStyle w:val="ListBullet"/>
      </w:pPr>
      <w:r>
        <w:t>versión de backend y frontend validados,</w:t>
      </w:r>
    </w:p>
    <w:p>
      <w:pPr>
        <w:pStyle w:val="ListBullet"/>
      </w:pPr>
      <w:r>
        <w:t>commit o release bajo validación,</w:t>
      </w:r>
    </w:p>
    <w:p>
      <w:pPr>
        <w:pStyle w:val="ListBullet"/>
      </w:pPr>
      <w:r>
        <w:t>endpoints montados en backend,</w:t>
      </w:r>
    </w:p>
    <w:p>
      <w:pPr>
        <w:pStyle w:val="ListBullet"/>
      </w:pPr>
      <w:r>
        <w:t>URL y rutas vigentes de frontend,</w:t>
      </w:r>
    </w:p>
    <w:p>
      <w:pPr>
        <w:pStyle w:val="ListBullet"/>
      </w:pPr>
      <w:r>
        <w:t>evidencia de despliegue e infraestructura utilizada,</w:t>
      </w:r>
    </w:p>
    <w:p>
      <w:pPr>
        <w:pStyle w:val="ListBullet"/>
      </w:pPr>
      <w:r>
        <w:t>inventario de variables logicas sin exponer secretos,</w:t>
      </w:r>
    </w:p>
    <w:p>
      <w:pPr>
        <w:pStyle w:val="ListBullet"/>
      </w:pPr>
      <w:r>
        <w:t>evidencia de conectividad y consistencia de base de datos,</w:t>
      </w:r>
    </w:p>
    <w:p>
      <w:pPr>
        <w:pStyle w:val="ListBullet"/>
      </w:pPr>
      <w:r>
        <w:t>respaldo previo o estrategia de rollback documentada.</w:t>
      </w:r>
    </w:p>
    <w:p>
      <w:pPr>
        <w:pStyle w:val="Heading2"/>
      </w:pPr>
      <w:r>
        <w:t>4. Checklist IQ maestro 2026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339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339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Verificación</w:t>
            </w:r>
          </w:p>
        </w:tc>
        <w:tc>
          <w:tcPr>
            <w:tcW w:type="dxa" w:w="2339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Evidencia mínima</w:t>
            </w:r>
          </w:p>
        </w:tc>
        <w:tc>
          <w:tcPr>
            <w:tcW w:type="dxa" w:w="2339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Estado esperado</w:t>
            </w:r>
          </w:p>
        </w:tc>
      </w:tr>
      <w:tr>
        <w:tc>
          <w:tcPr>
            <w:tcW w:type="dxa" w:w="233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IQ-01</w:t>
            </w:r>
          </w:p>
        </w:tc>
        <w:tc>
          <w:tcPr>
            <w:tcW w:type="dxa" w:w="233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Versión del backend identificada</w:t>
            </w:r>
          </w:p>
        </w:tc>
        <w:tc>
          <w:tcPr>
            <w:tcW w:type="dxa" w:w="233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backend/package.json + commit</w:t>
            </w:r>
          </w:p>
        </w:tc>
        <w:tc>
          <w:tcPr>
            <w:tcW w:type="dxa" w:w="233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233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IQ-02</w:t>
            </w:r>
          </w:p>
        </w:tc>
        <w:tc>
          <w:tcPr>
            <w:tcW w:type="dxa" w:w="233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Versión del frontend identificada</w:t>
            </w:r>
          </w:p>
        </w:tc>
        <w:tc>
          <w:tcPr>
            <w:tcW w:type="dxa" w:w="233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spi_front/package.json + commit</w:t>
            </w:r>
          </w:p>
        </w:tc>
        <w:tc>
          <w:tcPr>
            <w:tcW w:type="dxa" w:w="233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233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IQ-03</w:t>
            </w:r>
          </w:p>
        </w:tc>
        <w:tc>
          <w:tcPr>
            <w:tcW w:type="dxa" w:w="233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Rutas backend montadas según alcance</w:t>
            </w:r>
          </w:p>
        </w:tc>
        <w:tc>
          <w:tcPr>
            <w:tcW w:type="dxa" w:w="233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registerRoutes.js</w:t>
            </w:r>
          </w:p>
        </w:tc>
        <w:tc>
          <w:tcPr>
            <w:tcW w:type="dxa" w:w="233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233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IQ-04</w:t>
            </w:r>
          </w:p>
        </w:tc>
        <w:tc>
          <w:tcPr>
            <w:tcW w:type="dxa" w:w="233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Rutas frontend privadas y públicas según alcance</w:t>
            </w:r>
          </w:p>
        </w:tc>
        <w:tc>
          <w:tcPr>
            <w:tcW w:type="dxa" w:w="233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AppRoutes.jsx</w:t>
            </w:r>
          </w:p>
        </w:tc>
        <w:tc>
          <w:tcPr>
            <w:tcW w:type="dxa" w:w="233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233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IQ-05</w:t>
            </w:r>
          </w:p>
        </w:tc>
        <w:tc>
          <w:tcPr>
            <w:tcW w:type="dxa" w:w="233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Base de datos accesible y coherente con el sistema</w:t>
            </w:r>
          </w:p>
        </w:tc>
        <w:tc>
          <w:tcPr>
            <w:tcW w:type="dxa" w:w="233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esquema real + tablas criticas</w:t>
            </w:r>
          </w:p>
        </w:tc>
        <w:tc>
          <w:tcPr>
            <w:tcW w:type="dxa" w:w="233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233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IQ-06</w:t>
            </w:r>
          </w:p>
        </w:tc>
        <w:tc>
          <w:tcPr>
            <w:tcW w:type="dxa" w:w="233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Variables logicas y dependencias externas documentadas</w:t>
            </w:r>
          </w:p>
        </w:tc>
        <w:tc>
          <w:tcPr>
            <w:tcW w:type="dxa" w:w="233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inventario de process.env y servicios</w:t>
            </w:r>
          </w:p>
        </w:tc>
        <w:tc>
          <w:tcPr>
            <w:tcW w:type="dxa" w:w="233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233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IQ-07</w:t>
            </w:r>
          </w:p>
        </w:tc>
        <w:tc>
          <w:tcPr>
            <w:tcW w:type="dxa" w:w="233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Integraciones activas identificadas</w:t>
            </w:r>
          </w:p>
        </w:tc>
        <w:tc>
          <w:tcPr>
            <w:tcW w:type="dxa" w:w="233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Gmail, CRM webhook, Drive, firma, jobs</w:t>
            </w:r>
          </w:p>
        </w:tc>
        <w:tc>
          <w:tcPr>
            <w:tcW w:type="dxa" w:w="233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233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IQ-08</w:t>
            </w:r>
          </w:p>
        </w:tc>
        <w:tc>
          <w:tcPr>
            <w:tcW w:type="dxa" w:w="233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Usuarios y roles de prueba definidos</w:t>
            </w:r>
          </w:p>
        </w:tc>
        <w:tc>
          <w:tcPr>
            <w:tcW w:type="dxa" w:w="233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matriz de prueba</w:t>
            </w:r>
          </w:p>
        </w:tc>
        <w:tc>
          <w:tcPr>
            <w:tcW w:type="dxa" w:w="233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233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IQ-09</w:t>
            </w:r>
          </w:p>
        </w:tc>
        <w:tc>
          <w:tcPr>
            <w:tcW w:type="dxa" w:w="233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Trazabilidad técnica disponible</w:t>
            </w:r>
          </w:p>
        </w:tc>
        <w:tc>
          <w:tcPr>
            <w:tcW w:type="dxa" w:w="233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logs, auditoría, colas o workers</w:t>
            </w:r>
          </w:p>
        </w:tc>
        <w:tc>
          <w:tcPr>
            <w:tcW w:type="dxa" w:w="233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  <w:tr>
        <w:tc>
          <w:tcPr>
            <w:tcW w:type="dxa" w:w="233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IQ-10</w:t>
            </w:r>
          </w:p>
        </w:tc>
        <w:tc>
          <w:tcPr>
            <w:tcW w:type="dxa" w:w="233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Mecanismo de recuperación o rollback documentado</w:t>
            </w:r>
          </w:p>
        </w:tc>
        <w:tc>
          <w:tcPr>
            <w:tcW w:type="dxa" w:w="233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procedimiento operativo</w:t>
            </w:r>
          </w:p>
        </w:tc>
        <w:tc>
          <w:tcPr>
            <w:tcW w:type="dxa" w:w="233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</w:tr>
    </w:tbl>
    <w:p/>
    <w:p>
      <w:pPr>
        <w:pStyle w:val="Heading2"/>
      </w:pPr>
      <w:r>
        <w:t>5. Módulos que requieren especial atención en IQ</w:t>
      </w:r>
    </w:p>
    <w:p>
      <w:pPr>
        <w:pStyle w:val="ListBullet"/>
      </w:pPr>
      <w:r>
        <w:t>business-case</w:t>
      </w:r>
    </w:p>
    <w:p>
      <w:pPr>
        <w:pStyle w:val="ListBullet"/>
      </w:pPr>
      <w:r>
        <w:t>private-purchases</w:t>
      </w:r>
    </w:p>
    <w:p>
      <w:pPr>
        <w:pStyle w:val="ListBullet"/>
      </w:pPr>
      <w:r>
        <w:t>servicio</w:t>
      </w:r>
    </w:p>
    <w:p>
      <w:pPr>
        <w:pStyle w:val="ListBullet"/>
      </w:pPr>
      <w:r>
        <w:t>ti-assets</w:t>
      </w:r>
    </w:p>
    <w:p>
      <w:pPr>
        <w:pStyle w:val="ListBullet"/>
      </w:pPr>
      <w:r>
        <w:t>collab-deliveries</w:t>
      </w:r>
    </w:p>
    <w:p>
      <w:pPr>
        <w:pStyle w:val="ListBullet"/>
      </w:pPr>
      <w:r>
        <w:t>signature-workflows</w:t>
      </w:r>
    </w:p>
    <w:p>
      <w:pPr>
        <w:pStyle w:val="ListBullet"/>
      </w:pPr>
      <w:r>
        <w:t>crm-fam</w:t>
      </w:r>
    </w:p>
    <w:p>
      <w:pPr>
        <w:pStyle w:val="ListBullet"/>
      </w:pPr>
      <w:r>
        <w:t>work-management</w:t>
      </w:r>
    </w:p>
    <w:p>
      <w:pPr>
        <w:pStyle w:val="ListBullet"/>
      </w:pPr>
      <w:r>
        <w:t>world-cup-2026 solo si se incluye en alcance</w:t>
      </w:r>
    </w:p>
    <w:p>
      <w:pPr>
        <w:pStyle w:val="Heading2"/>
      </w:pPr>
      <w:r>
        <w:t>6. Criterios de implementación correcta</w:t>
      </w:r>
    </w:p>
    <w:p>
      <w:r>
        <w:t>Se considera que IQ esta en condición de conformidad cuando:</w:t>
      </w:r>
    </w:p>
    <w:p>
      <w:pPr>
        <w:pStyle w:val="ListBullet"/>
      </w:pPr>
      <w:r>
        <w:t>el entorno bajo validación es identificable y repetible,</w:t>
      </w:r>
    </w:p>
    <w:p>
      <w:pPr>
        <w:pStyle w:val="ListBullet"/>
      </w:pPr>
      <w:r>
        <w:t>las rutas y pantallas del alcance responden desde la versión correcta,</w:t>
      </w:r>
    </w:p>
    <w:p>
      <w:pPr>
        <w:pStyle w:val="ListBullet"/>
      </w:pPr>
      <w:r>
        <w:t>los componentes base del sistema están presentes,</w:t>
      </w:r>
    </w:p>
    <w:p>
      <w:pPr>
        <w:pStyle w:val="ListBullet"/>
      </w:pPr>
      <w:r>
        <w:t>no existen dependencias criticas sin documentar,</w:t>
      </w:r>
    </w:p>
    <w:p>
      <w:pPr>
        <w:pStyle w:val="ListBullet"/>
      </w:pPr>
      <w:r>
        <w:t>las brechas técnicas abiertas quedan registradas como desviaciones.</w:t>
      </w:r>
    </w:p>
    <w:p>
      <w:pPr>
        <w:pStyle w:val="Heading2"/>
      </w:pPr>
      <w:r>
        <w:t>7. Desviaciones tipicas a registrar</w:t>
      </w:r>
    </w:p>
    <w:p>
      <w:pPr>
        <w:pStyle w:val="ListBullet"/>
      </w:pPr>
      <w:r>
        <w:t>entorno productivo sin staging equivalente,</w:t>
      </w:r>
    </w:p>
    <w:p>
      <w:pPr>
        <w:pStyle w:val="ListBullet"/>
      </w:pPr>
      <w:r>
        <w:t>rutas vigentes no documentadas en URS/FRS/DS,</w:t>
      </w:r>
    </w:p>
    <w:p>
      <w:pPr>
        <w:pStyle w:val="ListBullet"/>
      </w:pPr>
      <w:r>
        <w:t>tablas o columnas reales no reflejadas en documentos,</w:t>
      </w:r>
    </w:p>
    <w:p>
      <w:pPr>
        <w:pStyle w:val="ListBullet"/>
      </w:pPr>
      <w:r>
        <w:t>integraciones activas sin evidencia de configuración,</w:t>
      </w:r>
    </w:p>
    <w:p>
      <w:pPr>
        <w:pStyle w:val="ListBullet"/>
      </w:pPr>
      <w:r>
        <w:t>jobs en ejecución sin protocolo de verificación.</w:t>
      </w:r>
    </w:p>
    <w:p>
      <w:pPr>
        <w:pStyle w:val="Heading2"/>
      </w:pPr>
      <w:r>
        <w:t>8. Entregables de salida de IQ</w:t>
      </w:r>
    </w:p>
    <w:p>
      <w:pPr>
        <w:pStyle w:val="ListBullet"/>
      </w:pPr>
      <w:r>
        <w:t>lista de componentes instalados y verificados,</w:t>
      </w:r>
    </w:p>
    <w:p>
      <w:pPr>
        <w:pStyle w:val="ListBullet"/>
      </w:pPr>
      <w:r>
        <w:t>matriz de evidencias técnicas,</w:t>
      </w:r>
    </w:p>
    <w:p>
      <w:pPr>
        <w:pStyle w:val="ListBullet"/>
      </w:pPr>
      <w:r>
        <w:t>lista de desviaciones IQ abiertas,</w:t>
      </w:r>
    </w:p>
    <w:p>
      <w:pPr>
        <w:pStyle w:val="ListBullet"/>
      </w:pPr>
      <w:r>
        <w:t>autorización de paso a OQ por alcance.</w:t>
      </w:r>
    </w:p>
    <w:p>
      <w:pPr>
        <w:pStyle w:val="Heading2"/>
      </w:pPr>
      <w:r>
        <w:t>9. Conclusión operativa</w:t>
      </w:r>
    </w:p>
    <w:p>
      <w:r>
        <w:t>IQ ya no debe tratarse como una simple verificación de presencia de archivos. En FamSPI 2026 debe actuar como validación de implementación real del ecosistema desplegado y de sus dependencias activas.</w:t>
      </w:r>
    </w:p>
    <w:p>
      <w:pPr>
        <w:pStyle w:val="Heading1"/>
      </w:pPr>
      <w:r>
        <w:t>Línea base de configuración as-built (WHO §15)</w:t>
      </w:r>
    </w:p>
    <w:p>
      <w:r>
        <w:t>Parámetros de configuración vigentes obtenidos del sistema actual. Las diferencias frente a documentos históricos se registran como brecha. Los elementos configurables quedan sujetos a control de cambios con ticket TI.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587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Elemento</w:t>
            </w:r>
          </w:p>
        </w:tc>
        <w:tc>
          <w:tcPr>
            <w:tcW w:type="dxa" w:w="2948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Valor aprobado</w:t>
            </w:r>
          </w:p>
        </w:tc>
        <w:tc>
          <w:tcPr>
            <w:tcW w:type="dxa" w:w="1814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Fuente</w:t>
            </w:r>
          </w:p>
        </w:tc>
        <w:tc>
          <w:tcPr>
            <w:tcW w:type="dxa" w:w="1134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Ambiente</w:t>
            </w:r>
          </w:p>
        </w:tc>
        <w:tc>
          <w:tcPr>
            <w:tcW w:type="dxa" w:w="1871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Evidencia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Zona horaria</w:t>
            </w:r>
          </w:p>
        </w:tc>
        <w:tc>
          <w:tcPr>
            <w:tcW w:type="dxa" w:w="294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America/Guayaquil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Estandar corporativo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Producción</w:t>
            </w:r>
          </w:p>
        </w:tc>
        <w:tc>
          <w:tcPr>
            <w:tcW w:type="dxa" w:w="187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Config de servidor / consultas NOW()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Auditoría GxP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Habilitada (no desactivable por usuario rutinario)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Requisito de trazabilidad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Producción</w:t>
            </w:r>
          </w:p>
        </w:tc>
        <w:tc>
          <w:tcPr>
            <w:tcW w:type="dxa" w:w="187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`auditMiddleware`, `auditoría.logs`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Autenticación</w:t>
            </w:r>
          </w:p>
        </w:tc>
        <w:tc>
          <w:tcPr>
            <w:tcW w:type="dxa" w:w="294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JWT firmado, iss `spi-fam-backend` / aud `spi-fam-frontend`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Diseño de seguridad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Producción</w:t>
            </w:r>
          </w:p>
        </w:tc>
        <w:tc>
          <w:tcPr>
            <w:tcW w:type="dxa" w:w="187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`config/oauth.js`, `middlewares/auth.js`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Sesión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Bearer + x-refresh-token en headers; sin cookies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Diseño de seguridad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Producción</w:t>
            </w:r>
          </w:p>
        </w:tc>
        <w:tc>
          <w:tcPr>
            <w:tcW w:type="dxa" w:w="187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`middlewares/auth.js`, `session.repository.js`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Control de acceso</w:t>
            </w:r>
          </w:p>
        </w:tc>
        <w:tc>
          <w:tcPr>
            <w:tcW w:type="dxa" w:w="294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RBAC por rol y grupos (ROLE_GROUPS); guard por módulo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Matriz de roles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Producción</w:t>
            </w:r>
          </w:p>
        </w:tc>
        <w:tc>
          <w:tcPr>
            <w:tcW w:type="dxa" w:w="187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`middlewares/roles.js`, `moduleAccess.js`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Custodia de secretos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gcloud Secret Manager (DB_PASSWORD, proyecto famspi-sbox)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Política de secretos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Producción</w:t>
            </w:r>
          </w:p>
        </w:tc>
        <w:tc>
          <w:tcPr>
            <w:tcW w:type="dxa" w:w="187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`config/db.js`; nunca .env en producción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Respaldo</w:t>
            </w:r>
          </w:p>
        </w:tc>
        <w:tc>
          <w:tcPr>
            <w:tcW w:type="dxa" w:w="294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Job programado a almacenamiento externo (Drive), endpoint protegido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Política de respaldo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Producción</w:t>
            </w:r>
          </w:p>
        </w:tc>
        <w:tc>
          <w:tcPr>
            <w:tcW w:type="dxa" w:w="187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`jobs/databaseBackupToDrive.js`, `jobsAuth.js`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Migraciones</w:t>
            </w:r>
          </w:p>
        </w:tc>
        <w:tc>
          <w:tcPr>
            <w:tcW w:type="dxa" w:w="294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Archivos SQL numerados, versionados y aplicados de forma controlada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Control de cambios BD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Producción</w:t>
            </w:r>
          </w:p>
        </w:tc>
        <w:tc>
          <w:tcPr>
            <w:tcW w:type="dxa" w:w="187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`backend/migrations/`</w:t>
            </w:r>
          </w:p>
        </w:tc>
      </w:tr>
    </w:tbl>
    <w:p/>
    <w:p>
      <w:pPr>
        <w:pStyle w:val="Heading1"/>
      </w:pPr>
      <w:r>
        <w:t>Evidencia por item — Calificación de instalación (IQ)</w:t>
      </w:r>
    </w:p>
    <w:p>
      <w:r>
        <w:t>Cada verificación de instalación se sustenta con el archivo fuente/configuración real y con espacio para la captura de la ejecución (terminal, panel o consulta).</w:t>
      </w:r>
    </w:p>
    <w:p>
      <w:pPr>
        <w:pStyle w:val="Heading2"/>
      </w:pPr>
      <w:r>
        <w:t>IQ-01 — Versión del backend identificada</w:t>
      </w:r>
    </w:p>
    <w:p>
      <w:r>
        <w:rPr>
          <w:b/>
          <w:color w:val="0F4761"/>
        </w:rPr>
        <w:t xml:space="preserve">Explicación: </w:t>
      </w:r>
      <w:r>
        <w:t>La versión del artefacto backend bajo validación se declara en su package.json; identifica de forma inequivoca lo desplegado.</w:t>
      </w:r>
    </w:p>
    <w:p>
      <w:r>
        <w:rPr>
          <w:b/>
          <w:color w:val="0F4761"/>
        </w:rPr>
        <w:t xml:space="preserve">Dato verificado al generar: </w:t>
      </w:r>
      <w:r>
        <w:t>backend versión 1.0.0, commit 3953760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backend/package.json (desde línea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"version": "1.0.0",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"description": "Backend empresarial con módulos de autenticación, solicitudes, aprobaciones, finanzas, talento humano y auditoría",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"main": "src/server.js",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"type": "commonjs",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"scripts": {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pStyle w:val="Heading2"/>
      </w:pPr>
      <w:r>
        <w:t>IQ-02 — Versión del frontend identificada</w:t>
      </w:r>
    </w:p>
    <w:p>
      <w:r>
        <w:rPr>
          <w:b/>
          <w:color w:val="0F4761"/>
        </w:rPr>
        <w:t xml:space="preserve">Explicación: </w:t>
      </w:r>
      <w:r>
        <w:t>La versión del artefacto frontend se declara en su package.json, identificando la build de interfaz validada.</w:t>
      </w:r>
    </w:p>
    <w:p>
      <w:r>
        <w:rPr>
          <w:b/>
          <w:color w:val="0F4761"/>
        </w:rPr>
        <w:t xml:space="preserve">Dato verificado al generar: </w:t>
      </w:r>
      <w:r>
        <w:t>frontend versión 0.1.0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spi_front/package.json (desde línea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"version": "0.1.0",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"private": true,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"dependencies":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"@headlessui/react": "^2.2.9",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"@hookform/resolvers": "^5.2.2",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pStyle w:val="Heading2"/>
      </w:pPr>
      <w:r>
        <w:t>IQ-03 — Rutas backend montadas según alcance</w:t>
      </w:r>
    </w:p>
    <w:p>
      <w:r>
        <w:rPr>
          <w:b/>
          <w:color w:val="0F4761"/>
        </w:rPr>
        <w:t xml:space="preserve">Explicación: </w:t>
      </w:r>
      <w:r>
        <w:t>El registro central monta las rutas privadas tras el pipeline de seguridad (verifyToken, moduleAccessGuard, auditoría).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backend/src/routes/registerRoutes.js (desde línea 90)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function mountPrivateRoutes(app)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app.use("/api/v1/requests", requestRoutes);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app.use("/api/v1/approvals", approvalRoutes);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app.use("/api/v1/finanzas", finRoutes);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app.use("/api/v1/talento-humano", hrRoutes);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app.use("/api/v1/departments", departmentsRoutes);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app.use("/api/v1/auditoria", auditRoutes);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app.use("/api/v1/audit-prep", auditPrepRoutes);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app.use("/api/v1/security", securityRoutes);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app.use("/api/v1/management", managementRoutes);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app.use("/api/v1/documents", documentsRoutes);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app.use("/api/v1/files", filesRoutes);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app.use("/api/v1/servicio", servicioRoutes);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app.use("/api/v1/technical-applications", technicalApplicationsRoutes);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app.use("/api/v1/business-case", businessCaseRoutes);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pStyle w:val="Heading2"/>
      </w:pPr>
      <w:r>
        <w:t>IQ-04 — Rutas frontend privadas y públicas según alcance</w:t>
      </w:r>
    </w:p>
    <w:p>
      <w:r>
        <w:rPr>
          <w:b/>
          <w:color w:val="0F4761"/>
        </w:rPr>
        <w:t xml:space="preserve">Explicación: </w:t>
      </w:r>
      <w:r>
        <w:t>Las rutas de la SPA se protegen con ProtectedRoute según rol; confirma que las pantallas del alcance responden desde la versión correcta.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spi_front/src/routes/AppRoutes.jsx (desde línea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import { ProtectedRoute } from "../core/auth/ProtectedRoute";</w:t>
              <w:br/>
            </w:r>
            <w:r>
              <w:rPr>
                <w:rFonts w:ascii="Consolas" w:hAnsi="Consolas"/>
                <w:color w:val="000000"/>
                <w:sz w:val="15"/>
              </w:rPr>
              <w:t>import { RoleRedirect } from "../core/auth/ProtectedRoute";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// ðŸ  Layouts</w:t>
              <w:br/>
            </w:r>
            <w:r>
              <w:rPr>
                <w:rFonts w:ascii="Consolas" w:hAnsi="Consolas"/>
                <w:color w:val="000000"/>
                <w:sz w:val="15"/>
              </w:rPr>
              <w:t>import PublicLayout from "../core/layout/PublicLayout";</w:t>
              <w:br/>
            </w:r>
            <w:r>
              <w:rPr>
                <w:rFonts w:ascii="Consolas" w:hAnsi="Consolas"/>
                <w:color w:val="000000"/>
                <w:sz w:val="15"/>
              </w:rPr>
              <w:t>import DashboardLayout from "../core/layout/DashboardLayout";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// ðŸªª PÃ¡ginas pÃºblicas</w:t>
              <w:br/>
            </w:r>
            <w:r>
              <w:rPr>
                <w:rFonts w:ascii="Consolas" w:hAnsi="Consolas"/>
                <w:color w:val="000000"/>
                <w:sz w:val="15"/>
              </w:rPr>
              <w:t>import Login from "../modules/shared/pages/Login";</w:t>
              <w:br/>
            </w:r>
            <w:r>
              <w:rPr>
                <w:rFonts w:ascii="Consolas" w:hAnsi="Consolas"/>
                <w:color w:val="000000"/>
                <w:sz w:val="15"/>
              </w:rPr>
              <w:t>import LoginCallback from "../modules/shared/pages/LoginCallback";</w:t>
              <w:br/>
            </w:r>
            <w:r>
              <w:rPr>
                <w:rFonts w:ascii="Consolas" w:hAnsi="Consolas"/>
                <w:color w:val="000000"/>
                <w:sz w:val="15"/>
              </w:rPr>
              <w:t>import NotFound from "../modules/shared/pages/NotFound";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pStyle w:val="Heading2"/>
      </w:pPr>
      <w:r>
        <w:t>IQ-05 — Base de datos accesible y coherente</w:t>
      </w:r>
    </w:p>
    <w:p>
      <w:r>
        <w:rPr>
          <w:b/>
          <w:color w:val="0F4761"/>
        </w:rPr>
        <w:t xml:space="preserve">Explicación: </w:t>
      </w:r>
      <w:r>
        <w:t>El pool de conexiones a PostgreSQL (Neon) se configura con validación y logs; es el punto de acceso único y controlado a los datos.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backend/src/config/db.js (desde línea 34)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const pool = new Pool({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host: process.env.DB_HOST || "localhost",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port: process.env.DB_PORT || 5432,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user: process.env.DB_USER || "postgres",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password: process.env.DB_PASSWORD || "",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database: process.env.DB_NAME || "spi_fam",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application_name: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process.env.DB_APPLICATION_NAME || process.env.PGAPPNAME || "spi_fam_api",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max: intFromEnv("DB_POOL_MAX", 20),  // 20 conexiones — suficiente para 40 usuarios con polling activo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min: intFromEnv("DB_POOL_MIN", 2),   // mantener 2 conexiones calientes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idleTimeoutMillis: intFromEnv("DB_IDLE_TIMEOUT_MS", 30000),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connectionTimeoutMillis: intFromEnv("DB_CONN_TIMEOUT_MS", 5000),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maxUses: intFromEnv("DB_POOL_MAX_USES", 7500),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pStyle w:val="Heading2"/>
      </w:pPr>
      <w:r>
        <w:t>IQ-06 — Variables logicas y dependencias externas documentadas</w:t>
      </w:r>
    </w:p>
    <w:p>
      <w:r>
        <w:rPr>
          <w:b/>
          <w:color w:val="0F4761"/>
        </w:rPr>
        <w:t xml:space="preserve">Explicación: </w:t>
      </w:r>
      <w:r>
        <w:t>La conexión se parametriza por variables de entorno y la credencial se obtiene de gcloud Secret Manager, nunca de un .env en producción.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backend/src/config/db.js (desde línea 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 xml:space="preserve">  const value = parseInt(process.env[key], 10);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return Number.isFinite(value) ? value : fallback;</w:t>
              <w:br/>
            </w:r>
            <w:r>
              <w:rPr>
                <w:rFonts w:ascii="Consolas" w:hAnsi="Consolas"/>
                <w:color w:val="000000"/>
                <w:sz w:val="15"/>
              </w:rPr>
              <w:t>};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const isTransientDbError = (err) =&gt;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const message = String(err?.message || "").toLowerCase();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const code = String(err?.code || "").toUpperCase();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if (code === "ETIMEDOUT" || code === "ECONNRESET" || code === "ECONNREFUSED") return true;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pStyle w:val="Heading2"/>
      </w:pPr>
      <w:r>
        <w:t>IQ-07 — Integraciones activas identificadas</w:t>
      </w:r>
    </w:p>
    <w:p>
      <w:r>
        <w:rPr>
          <w:b/>
          <w:color w:val="0F4761"/>
        </w:rPr>
        <w:t xml:space="preserve">Explicación: </w:t>
      </w:r>
      <w:r>
        <w:t>El flujo OAuth2 de Google autentica usuarios y emite el JWT con iss/aud propios; es una de las integraciones externas activas del sistema.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backend/src/config/oauth.js (desde línea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const { google } = require("googleapis");</w:t>
              <w:br/>
            </w:r>
            <w:r>
              <w:rPr>
                <w:rFonts w:ascii="Consolas" w:hAnsi="Consolas"/>
                <w:color w:val="000000"/>
                <w:sz w:val="15"/>
              </w:rPr>
              <w:t>require("dotenv").config();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// Cliente OAuth2 compartido para login Y Gmail</w:t>
              <w:br/>
            </w:r>
            <w:r>
              <w:rPr>
                <w:rFonts w:ascii="Consolas" w:hAnsi="Consolas"/>
                <w:color w:val="000000"/>
                <w:sz w:val="15"/>
              </w:rPr>
              <w:t>// IMPORTANTE: La redirect_uri debe estar registrada en Google Cloud Console</w:t>
              <w:br/>
            </w:r>
            <w:r>
              <w:rPr>
                <w:rFonts w:ascii="Consolas" w:hAnsi="Consolas"/>
                <w:color w:val="000000"/>
                <w:sz w:val="15"/>
              </w:rPr>
              <w:t>const oauth2Client = new google.auth.OAuth2(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process.env.GOOGLE_CLIENT_ID,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process.env.GOOGLE_CLIENT_SECRET,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process.env.GOOGLE_REDIRECT_URI || "http://localhost:3000/api/v1/auth/google/callback"</w:t>
              <w:br/>
            </w:r>
            <w:r>
              <w:rPr>
                <w:rFonts w:ascii="Consolas" w:hAnsi="Consolas"/>
                <w:color w:val="000000"/>
                <w:sz w:val="15"/>
              </w:rPr>
              <w:t>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module.exports = { google, oauth2Client };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pStyle w:val="Heading2"/>
      </w:pPr>
      <w:r>
        <w:t>IQ-08 — Usuarios y roles de prueba definidos</w:t>
      </w:r>
    </w:p>
    <w:p>
      <w:r>
        <w:rPr>
          <w:b/>
          <w:color w:val="0F4761"/>
        </w:rPr>
        <w:t xml:space="preserve">Explicación: </w:t>
      </w:r>
      <w:r>
        <w:t>El control de acceso por rol y sus grupos define los perfiles con los que se ejecutan las pruebas y se opera cada módulo.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backend/src/middlewares/roles.js (desde línea 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const ROLE_GROUPS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comercial: [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"comercial",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"jefe_comercial",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"jefe_de_comercial",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"backoffice_comercial",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"asesor_comercial",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"analista_comercial",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"acp_comercial",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"backoffice",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],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// Familia técnica interna — incluye roles nuevos y aliases legacy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tecnico: [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pStyle w:val="Heading2"/>
      </w:pPr>
      <w:r>
        <w:t>IQ-09 — Trazabilidad técnica disponible</w:t>
      </w:r>
    </w:p>
    <w:p>
      <w:r>
        <w:rPr>
          <w:b/>
          <w:color w:val="0F4761"/>
        </w:rPr>
        <w:t xml:space="preserve">Explicación: </w:t>
      </w:r>
      <w:r>
        <w:t>El middleware de auditoría registra automaticamente toda operación POST/PUT/PATCH/DELETE en auditoría.logs, garantizando trazabilidad técnica.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backend/src/middlewares/auditMiddleware.js (desde línea 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async function auditMiddleware(req, res, next)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try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method = req.method.toUpperCase();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trackable = ["POST", "PUT", "PATCH", "DELETE"];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// Solo auditar métodos que modifican datos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if (!trackable.includes(method)) return next();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// Omitir rutas públicas o de autenticación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if (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req.originalUrl.startsWith("/api/v1/auth") ||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req.originalUrl.startsWith("/auth")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pStyle w:val="Heading2"/>
      </w:pPr>
      <w:r>
        <w:t>IQ-10 — Mecanismo de recuperación o rollback documentado</w:t>
      </w:r>
    </w:p>
    <w:p>
      <w:r>
        <w:rPr>
          <w:b/>
          <w:color w:val="0F4761"/>
        </w:rPr>
        <w:t xml:space="preserve">Explicación: </w:t>
      </w:r>
      <w:r>
        <w:t>Los cambios de esquema se versionan como migraciones SQL numeradas aplicadas de forma controlada; el script de aplicación documenta el procedimiento.</w:t>
      </w:r>
    </w:p>
    <w:p>
      <w:r>
        <w:rPr>
          <w:b/>
          <w:color w:val="0F4761"/>
        </w:rPr>
        <w:t xml:space="preserve">Dato verificado al generar: </w:t>
      </w:r>
      <w:r>
        <w:t>273 migraciones SQL versionadas.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backend/run_migrations.ps1 (desde línea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# run_migrations.ps1</w:t>
              <w:br/>
            </w:r>
            <w:r>
              <w:rPr>
                <w:rFonts w:ascii="Consolas" w:hAnsi="Consolas"/>
                <w:color w:val="000000"/>
                <w:sz w:val="15"/>
              </w:rPr>
              <w:t># Script para ejecutar migraciones en Neon usando secretos de gcloud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$PROJECT_ID = "famspi-sbox"</w:t>
              <w:br/>
            </w:r>
            <w:r>
              <w:rPr>
                <w:rFonts w:ascii="Consolas" w:hAnsi="Consolas"/>
                <w:color w:val="000000"/>
                <w:sz w:val="15"/>
              </w:rPr>
              <w:t>$DB_HOST = "ep-muddy-sun-ah5um48r.c-3.us-east-1.aws.neon.tech" # MIGRACION 2026-07-21 (sin pooler)</w:t>
              <w:br/>
            </w:r>
            <w:r>
              <w:rPr>
                <w:rFonts w:ascii="Consolas" w:hAnsi="Consolas"/>
                <w:color w:val="000000"/>
                <w:sz w:val="15"/>
              </w:rPr>
              <w:t>$DB_PORT = "5432"</w:t>
              <w:br/>
            </w:r>
            <w:r>
              <w:rPr>
                <w:rFonts w:ascii="Consolas" w:hAnsi="Consolas"/>
                <w:color w:val="000000"/>
                <w:sz w:val="15"/>
              </w:rPr>
              <w:t>$DB_USER = "neondb_owner"</w:t>
              <w:br/>
            </w:r>
            <w:r>
              <w:rPr>
                <w:rFonts w:ascii="Consolas" w:hAnsi="Consolas"/>
                <w:color w:val="000000"/>
                <w:sz w:val="15"/>
              </w:rPr>
              <w:t>$DB_NAME = "neondb"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Write-Host "Obteniendo contrasena de base de datos desde Secret Manager..."</w:t>
              <w:br/>
            </w:r>
            <w:r>
              <w:rPr>
                <w:rFonts w:ascii="Consolas" w:hAnsi="Consolas"/>
                <w:color w:val="000000"/>
                <w:sz w:val="15"/>
              </w:rPr>
              <w:t>$DB_PASSWORD = gcloud secrets versions access latest --secret="DB_PASSWORD" --project=$PROJECT_ID</w:t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>if ($LASTEXITCODE -ne 0) {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pStyle w:val="Heading1"/>
      </w:pPr>
      <w:r>
        <w:t>Aprobaciones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154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Rol</w:t>
            </w:r>
          </w:p>
        </w:tc>
        <w:tc>
          <w:tcPr>
            <w:tcW w:type="dxa" w:w="2154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1814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Firma</w:t>
            </w:r>
          </w:p>
        </w:tc>
        <w:tc>
          <w:tcPr>
            <w:tcW w:type="dxa" w:w="1587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1644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Decisión</w:t>
            </w:r>
          </w:p>
        </w:tc>
      </w:tr>
      <w:tr>
        <w:tc>
          <w:tcPr>
            <w:tcW w:type="dxa" w:w="215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Responsable del proceso</w:t>
            </w:r>
          </w:p>
        </w:tc>
        <w:tc>
          <w:tcPr>
            <w:tcW w:type="dxa" w:w="215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64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Responsable Técnico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15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Gerencia General</w:t>
            </w:r>
          </w:p>
        </w:tc>
        <w:tc>
          <w:tcPr>
            <w:tcW w:type="dxa" w:w="215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64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/>
        <w:color w:val="0F4761"/>
        <w:sz w:val="18"/>
      </w:rPr>
      <w:fldChar w:fldCharType="begin"/>
      <w:instrText xml:space="preserve"> PAGE </w:instrText>
      <w:fldChar w:fldCharType="end"/>
    </w:r>
  </w:p>
  <w:p>
    <w:pPr>
      <w:jc w:val="center"/>
    </w:pPr>
    <w:r>
      <w:rPr>
        <w:rFonts w:ascii="Arial" w:hAnsi="Arial"/>
        <w:i/>
        <w:color w:val="000000"/>
        <w:sz w:val="16"/>
      </w:rPr>
      <w:t>Este documento es confidencial, la información contenida en el es propiedad de Famproject Cia. Ltda.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Style w:val="TableGrid"/>
      <w:tblW w:type="auto" w:w="0"/>
      <w:jc w:val="center"/>
      <w:tblLook w:firstColumn="1" w:firstRow="1" w:lastColumn="0" w:lastRow="0" w:noHBand="0" w:noVBand="1" w:val="04A0"/>
    </w:tblPr>
    <w:tblGrid>
      <w:gridCol w:w="4252"/>
      <w:gridCol w:w="4252"/>
    </w:tblGrid>
    <w:tr>
      <w:tc>
        <w:tcPr>
          <w:tcW w:type="dxa" w:w="8504"/>
          <w:gridSpan w:val="2"/>
          <w:vAlign w:val="center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936000" cy="50011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famproje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000" cy="50011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8504"/>
          <w:gridSpan w:val="2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20"/>
            </w:rPr>
            <w:t>Implementación IQ</w:t>
          </w:r>
        </w:p>
      </w:tc>
    </w:tr>
    <w:tr>
      <w:tc>
        <w:tcPr>
          <w:tcW w:type="dxa" w:w="4252"/>
          <w:vAlign w:val="center"/>
        </w:tcPr>
        <w:p>
          <w:r>
            <w:rPr>
              <w:rFonts w:ascii="Arial" w:hAnsi="Arial"/>
              <w:color w:val="000000"/>
              <w:sz w:val="16"/>
            </w:rPr>
            <w:t>Famproject Cia. Ltda.</w:t>
          </w:r>
        </w:p>
        <w:p>
          <w:r>
            <w:rPr>
              <w:rFonts w:ascii="Arial" w:hAnsi="Arial"/>
              <w:color w:val="000000"/>
              <w:sz w:val="16"/>
            </w:rPr>
            <w:t>Departamento de Tecnologías de la Información y Comunicación (TICS)</w:t>
          </w:r>
        </w:p>
      </w:tc>
      <w:tc>
        <w:tcPr>
          <w:tcW w:type="dxa" w:w="4252"/>
          <w:vAlign w:val="center"/>
        </w:tcPr>
        <w:p/>
        <w:p>
          <w:r>
            <w:rPr>
              <w:rFonts w:ascii="Arial" w:hAnsi="Arial"/>
              <w:color w:val="000000"/>
              <w:sz w:val="16"/>
            </w:rPr>
            <w:t>FECHA: 22/07/2026</w:t>
          </w:r>
        </w:p>
      </w:tc>
    </w:tr>
    <w:tr>
      <w:tc>
        <w:tcPr>
          <w:tcW w:type="dxa" w:w="8504"/>
          <w:gridSpan w:val="2"/>
          <w:vAlign w:val="center"/>
        </w:tcPr>
        <w:p>
          <w:r>
            <w:rPr>
              <w:rFonts w:ascii="Arial" w:hAnsi="Arial"/>
              <w:color w:val="000000"/>
              <w:sz w:val="16"/>
            </w:rPr>
            <w:t>FAM-SPI-VAL-IQ-2026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  <w:pBdr>
        <w:bottom w:val="single" w:sz="6" w:space="4" w:color="0F4761"/>
      </w:pBdr>
    </w:pPr>
    <w:rPr>
      <w:rFonts w:asciiTheme="majorHAnsi" w:eastAsiaTheme="majorEastAsia" w:hAnsiTheme="majorHAnsi" w:cstheme="majorBidi" w:ascii="Arial" w:hAnsi="Arial"/>
      <w:b/>
      <w:bCs/>
      <w:color w:val="0F476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F476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80"/>
      <w:contextualSpacing/>
    </w:pPr>
    <w:rPr>
      <w:rFonts w:asciiTheme="majorHAnsi" w:eastAsiaTheme="majorEastAsia" w:hAnsiTheme="majorHAnsi" w:cstheme="majorBidi" w:ascii="Arial" w:hAnsi="Arial"/>
      <w:b/>
      <w:color w:val="0F476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