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7DFD9" w14:textId="77777777" w:rsidR="004776A8" w:rsidRDefault="004776A8">
      <w:pPr>
        <w:spacing w:after="560"/>
      </w:pPr>
    </w:p>
    <w:p w14:paraId="47B38CE8" w14:textId="77777777" w:rsidR="004776A8" w:rsidRDefault="002A503A">
      <w:pPr>
        <w:spacing w:after="600"/>
        <w:jc w:val="center"/>
      </w:pPr>
      <w:r>
        <w:rPr>
          <w:noProof/>
        </w:rPr>
        <w:drawing>
          <wp:inline distT="0" distB="0" distL="0" distR="0" wp14:anchorId="5F83A9C5" wp14:editId="5914DAF5">
            <wp:extent cx="3337560" cy="925651"/>
            <wp:effectExtent l="0" t="0" r="0" b="0"/>
            <wp:docPr id="1" name="Picture 1" descr="Logotipo horizontal oficial de PMP Suite" title="Logotipo horizontal oficial de PMP Su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MP_Suite_Logo_Horizontal_Color_10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92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6A89" w14:textId="77777777" w:rsidR="004776A8" w:rsidRDefault="002A503A">
      <w:pPr>
        <w:spacing w:after="280"/>
        <w:jc w:val="center"/>
      </w:pPr>
      <w:r>
        <w:rPr>
          <w:rFonts w:eastAsia="Calibri"/>
          <w:b/>
          <w:color w:val="007E7A"/>
          <w:sz w:val="20"/>
        </w:rPr>
        <w:t>METODOLOGÍA TRADICIONAL · CASCADA</w:t>
      </w:r>
    </w:p>
    <w:p w14:paraId="58D0E3D5" w14:textId="77777777" w:rsidR="004776A8" w:rsidRDefault="002A503A">
      <w:pPr>
        <w:pStyle w:val="Ttulo"/>
        <w:spacing w:after="160"/>
        <w:jc w:val="center"/>
      </w:pPr>
      <w:r>
        <w:rPr>
          <w:b/>
          <w:color w:val="000000"/>
        </w:rPr>
        <w:t>Acta de Constitución del Proyecto</w:t>
      </w:r>
    </w:p>
    <w:p w14:paraId="60C148F4" w14:textId="77777777" w:rsidR="004776A8" w:rsidRDefault="002A503A">
      <w:pPr>
        <w:spacing w:after="680"/>
        <w:jc w:val="center"/>
      </w:pPr>
      <w:r>
        <w:t>PMP Suite · Definición y alcance del Proyecto APT</w:t>
      </w:r>
    </w:p>
    <w:tbl>
      <w:tblPr>
        <w:tblStyle w:val="Tablaconcuadrcula"/>
        <w:tblW w:w="9360" w:type="dxa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4776A8" w14:paraId="23D46B3E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8AC07" w14:textId="77777777" w:rsidR="004776A8" w:rsidRDefault="002A503A">
            <w:pPr>
              <w:spacing w:after="0"/>
            </w:pPr>
            <w:r>
              <w:rPr>
                <w:b/>
                <w:color w:val="0D1B2A"/>
                <w:sz w:val="19"/>
              </w:rPr>
              <w:t>Documento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Acta de Constitución del Proyecto</w:t>
            </w:r>
          </w:p>
        </w:tc>
      </w:tr>
      <w:tr w:rsidR="004776A8" w14:paraId="47CB542D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2E505" w14:textId="77777777" w:rsidR="004776A8" w:rsidRDefault="002A503A">
            <w:pPr>
              <w:spacing w:after="0"/>
            </w:pPr>
            <w:r>
              <w:rPr>
                <w:b/>
                <w:color w:val="0D1B2A"/>
                <w:sz w:val="19"/>
              </w:rPr>
              <w:t>Versión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8ACD7" w14:textId="77777777" w:rsidR="004776A8" w:rsidRDefault="002A503A">
            <w:pPr>
              <w:spacing w:after="0"/>
            </w:pPr>
            <w:r>
              <w:rPr>
                <w:sz w:val="20"/>
              </w:rPr>
              <w:t>V2.0 · Metodología en cascada</w:t>
            </w:r>
          </w:p>
        </w:tc>
      </w:tr>
      <w:tr w:rsidR="004776A8" w14:paraId="4BF1592E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C3731" w14:textId="77777777" w:rsidR="004776A8" w:rsidRDefault="002A503A">
            <w:pPr>
              <w:spacing w:after="0"/>
            </w:pPr>
            <w:r>
              <w:rPr>
                <w:b/>
                <w:color w:val="0D1B2A"/>
                <w:sz w:val="19"/>
              </w:rPr>
              <w:t>Equipo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E43F2" w14:textId="77777777" w:rsidR="004776A8" w:rsidRDefault="002A503A">
            <w:pPr>
              <w:spacing w:after="0"/>
            </w:pPr>
            <w:r>
              <w:rPr>
                <w:sz w:val="20"/>
              </w:rPr>
              <w:t>Rafael Oteiza · Matías Garrido · Luis Arenas</w:t>
            </w:r>
          </w:p>
        </w:tc>
      </w:tr>
      <w:tr w:rsidR="004776A8" w14:paraId="7E7B00C0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71162" w14:textId="77777777" w:rsidR="004776A8" w:rsidRDefault="002A503A">
            <w:pPr>
              <w:spacing w:after="0"/>
            </w:pPr>
            <w:r>
              <w:rPr>
                <w:b/>
                <w:color w:val="0D1B2A"/>
                <w:sz w:val="19"/>
              </w:rPr>
              <w:t>Estado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Revisión documental · 14 de octubre de 2026</w:t>
              <w:br/>
              <w:t>Aceptación académica y operacional pendiente</w:t>
            </w:r>
          </w:p>
        </w:tc>
      </w:tr>
    </w:tbl>
    <w:p w14:paraId="4FD8AF79" w14:textId="77777777" w:rsidR="004776A8" w:rsidRDefault="004776A8">
      <w:pPr>
        <w:spacing w:after="440"/>
      </w:pPr>
    </w:p>
    <w:p w14:paraId="46D09A2F" w14:textId="77777777" w:rsidR="004776A8" w:rsidRDefault="002A503A">
      <w:pPr>
        <w:jc w:val="center"/>
      </w:pPr>
      <w:r>
        <w:rPr>
          <w:rFonts w:eastAsia="Calibri"/>
          <w:i/>
          <w:color w:val="5F6B76"/>
          <w:sz w:val="19"/>
        </w:rPr>
        <w:t>PMP Suite · Tecnología que mantiene tu operación en movimiento</w:t>
      </w:r>
    </w:p>
    <w:p>
      <w:pPr>
        <w:pStyle w:val="Ttulo2"/>
      </w:pPr>
      <w:r>
        <w:t>Propósito del proyecto</w:t>
      </w:r>
    </w:p>
    <w:p>
      <w:pPr>
        <w:widowControl/>
      </w:pPr>
      <w:r>
        <w:t>PMP Suite centraliza el mantenimiento de validadores y consolas mediante identidad del activo, custodia física y trazabilidad de cada intervención. Este documento fija el problema, el alcance del MVP y las condiciones de revisión del proyecto Capstone de Ingeniería en Informática, Duoc UC.</w:t>
      </w:r>
    </w:p>
    <w:p>
      <w:pPr>
        <w:widowControl/>
      </w:pPr>
      <w:r>
        <w:t>La solución integra Web, Mobile, API, PostgreSQL, Firebase y analítica histórica. La entrega y presentación están previstas para el 23 de octubre de 2026. Este documento no acredita aprobación del mandante ni aceptación académica.</w:t>
      </w:r>
    </w:p>
    <w:p>
      <w:pPr>
        <w:widowControl/>
      </w:pPr>
      <w:r>
        <w:t>Contenido: problema y objetivos; alcance y restricciones; planificación, responsabilidades, riesgos y aprobación.</w:t>
      </w:r>
    </w:p>
    <w:p>
      <w:pPr>
        <w:pStyle w:val="Ttulo1"/>
        <w:pageBreakBefore/>
        <w:spacing w:before="0"/>
      </w:pPr>
      <w:r>
        <w:t>1 Problema objetivos y alcance</w:t>
      </w:r>
    </w:p>
    <w:p>
      <w:pPr>
        <w:pStyle w:val="Ttulo2"/>
      </w:pPr>
      <w:r>
        <w:t>Problema u oportunidad</w:t>
      </w:r>
    </w:p>
    <w:p>
      <w:pPr>
        <w:widowControl/>
      </w:pPr>
      <w:r>
        <w:t>Los registros de series, guías, fallas, reparaciones, repuestos y QA se distribuyen entre distintas áreas. Esa dispersión dificulta reconstruir quién tiene el equipo y qué trabajo se efectuó. Un despacho, una lectura de código y una recepción son hechos diferentes que deben conservarse como tales.</w:t>
      </w:r>
    </w:p>
    <w:p>
      <w:pPr>
        <w:pStyle w:val="Ttulo2"/>
      </w:pPr>
      <w:r>
        <w:t>Objetivo general y objetivos específicos</w:t>
      </w:r>
    </w:p>
    <w:p>
      <w:pPr>
        <w:widowControl/>
      </w:pPr>
      <w:r>
        <w:t>Desarrollar e integrar una plataforma que haga trazable el ciclo físico y técnico de los equipos y entregue información coherente a la operación. Para lograrlo: especificar reglas verificables; relacionar activo, caso, OS, evidencia y evento; controlar permisos y transiciones; ofrecer reportes históricos; y verificar el producto con pruebas y documentación reproducible.</w:t>
      </w:r>
    </w:p>
    <w:p>
      <w:pPr>
        <w:pStyle w:val="Ttulo2"/>
      </w:pPr>
      <w:r>
        <w:t>Alcance del MVP y justificación</w:t>
      </w:r>
    </w:p>
    <w:p>
      <w:pPr>
        <w:widowControl/>
      </w:pPr>
      <w:r>
        <w:t>Incluye registro y recepción inicial, requerimientos y OS, retiro, Bodega, Laboratorio, QA, repuestos, despacho e instalación, usuarios, trazabilidad y reportes. La identidad tipo más serie y la evidencia por ciclo conectan el registro digital con la custodia. La analítica es descriptiva y heurística; apoya revisión humana y no decide movimientos ni acredita predicción entrenada.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6048"/>
      </w:tblGrid>
      <w:tr>
        <w:trPr>
          <w:cantSplit/>
          <w:tblHeader/>
        </w:trPr>
        <w:tc>
          <w:tcPr>
            <w:tcW w:type="dxa" w:w="3312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Usuarios o interesados</w:t>
            </w:r>
          </w:p>
        </w:tc>
        <w:tc>
          <w:tcPr>
            <w:tcW w:type="dxa" w:w="6048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Participación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Admin y Gerente</w:t>
            </w:r>
          </w:p>
        </w:tc>
        <w:tc>
          <w:tcPr>
            <w:tcW w:type="dxa" w:w="604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Administración de usuarios y supervisión dentro de sus permisos.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Logística y Técnico Terreno</w:t>
            </w:r>
          </w:p>
        </w:tc>
        <w:tc>
          <w:tcPr>
            <w:tcW w:type="dxa" w:w="604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Registro, traslado, recepción, stock e instalación.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Jefe Lab, Técnico Lab y QA</w:t>
            </w:r>
          </w:p>
        </w:tc>
        <w:tc>
          <w:tcPr>
            <w:tcW w:type="dxa" w:w="604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Recepción, asignación, diagnóstico, reparación y calidad.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Equipo, mandante y evaluadores</w:t>
            </w:r>
          </w:p>
        </w:tc>
        <w:tc>
          <w:tcPr>
            <w:tcW w:type="dxa" w:w="604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Construcción, revisión de alcance y aceptación por la instancia competente.</w:t>
            </w:r>
          </w:p>
        </w:tc>
      </w:tr>
    </w:tbl>
    <w:p>
      <w:pPr>
        <w:widowControl/>
        <w:spacing w:after="0"/>
      </w:pPr>
    </w:p>
    <w:p>
      <w:pPr>
        <w:pStyle w:val="Ttulo2"/>
      </w:pPr>
      <w:r>
        <w:t>Restricciones y supuestos</w:t>
      </w:r>
    </w:p>
    <w:p>
      <w:pPr>
        <w:widowControl/>
      </w:pPr>
      <w:r>
        <w:t>Equipo de tres integrantes y alcance acotado al MVP. Se requiere participación de usuarios y recursos autorizados para validar. La copia V2.0 sigue usando servicios compartidos; una carpeta nueva no aísla PostgreSQL ni Firebase. Se excluyen integración productiva automática externa, certificación de producción y nuevas capacidades predictivas. No hay presupuesto ni esfuerzo en horas formalmente aprobados.</w:t>
      </w:r>
    </w:p>
    <w:p>
      <w:pPr>
        <w:pStyle w:val="Ttulo1"/>
        <w:pageBreakBefore/>
        <w:spacing w:before="0"/>
      </w:pPr>
      <w:r>
        <w:t>2 Planificación responsabilidades y aceptación</w:t>
      </w:r>
    </w:p>
    <w:p>
      <w:pPr>
        <w:widowControl/>
      </w:pPr>
      <w:r>
        <w:t>La metodología en cascada organiza requisitos, diseño, construcción, pruebas y entrega. La Carta Gantt mantiene semanas relativas 1 a 18: no asigna fechas calendario ni representa avance ejecutado. La documentación acompaña cada fase y se consolida al cierre.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8208"/>
      </w:tblGrid>
      <w:tr>
        <w:trPr>
          <w:cantSplit/>
          <w:tblHeader/>
        </w:trPr>
        <w:tc>
          <w:tcPr>
            <w:tcW w:type="dxa" w:w="1152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Semanas</w:t>
            </w:r>
          </w:p>
        </w:tc>
        <w:tc>
          <w:tcPr>
            <w:tcW w:type="dxa" w:w="8208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Trabajo y punto de control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1–4</w:t>
            </w:r>
          </w:p>
        </w:tc>
        <w:tc>
          <w:tcPr>
            <w:tcW w:type="dxa" w:w="820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Problema, requisitos y planificación. Hito S4: definición.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5–6</w:t>
            </w:r>
          </w:p>
        </w:tc>
        <w:tc>
          <w:tcPr>
            <w:tcW w:type="dxa" w:w="82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Arquitectura y datos; revisión antes de construir.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7–12</w:t>
            </w:r>
          </w:p>
        </w:tc>
        <w:tc>
          <w:tcPr>
            <w:tcW w:type="dxa" w:w="820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Backend, integración, Web y Mobile. Hito S9: avance.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13–15</w:t>
            </w:r>
          </w:p>
        </w:tc>
        <w:tc>
          <w:tcPr>
            <w:tcW w:type="dxa" w:w="82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Pruebas y revisión de evidencia. Hito S15: informe final.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16–18</w:t>
            </w:r>
          </w:p>
        </w:tc>
        <w:tc>
          <w:tcPr>
            <w:tcW w:type="dxa" w:w="820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Consolidación, entrega y preparación de comisión. Hito S18: comisión.</w:t>
            </w:r>
          </w:p>
        </w:tc>
      </w:tr>
    </w:tbl>
    <w:p>
      <w:pPr>
        <w:widowControl/>
        <w:spacing w:after="0"/>
      </w:pPr>
    </w:p>
    <w:p>
      <w:pPr>
        <w:widowControl/>
      </w:pPr>
      <w:hyperlink r:id="rId13">
        <w:r>
          <w:rPr>
            <w:color w:val="1565C0"/>
          </w:rPr>
          <w:t>Cronograma de 18 semanas</w:t>
        </w:r>
      </w:hyperlink>
    </w:p>
    <w:p>
      <w:pPr>
        <w:widowControl/>
      </w:pPr>
      <w:r>
        <w:t>Responsabilidades de proyecto: Rafael Oteiza coordina arquitectura, Backend, datos e integración; Matías Garrido, requisitos, documentación y evidencias; Luis Arenas, Web, Mobile y experiencia de uso. La asignación de ejecutores y aprobadores de cada validación permanece pendiente. Mandante y patrocinador formal: por confirmar.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6336"/>
      </w:tblGrid>
      <w:tr>
        <w:trPr>
          <w:cantSplit/>
          <w:tblHeader/>
        </w:trPr>
        <w:tc>
          <w:tcPr>
            <w:tcW w:type="dxa" w:w="3024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Riesgo</w:t>
            </w:r>
          </w:p>
        </w:tc>
        <w:tc>
          <w:tcPr>
            <w:tcW w:type="dxa" w:w="6336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Respuesta y condición de control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Cambio tardío de alcance</w:t>
            </w:r>
          </w:p>
        </w:tc>
        <w:tc>
          <w:tcPr>
            <w:tcW w:type="dxa" w:w="633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Evaluar impacto en requisitos, datos, permisos y plazo antes de aprobarlo.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Custodia o identidad incorrecta</w:t>
            </w:r>
          </w:p>
        </w:tc>
        <w:tc>
          <w:tcPr>
            <w:tcW w:type="dxa" w:w="633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Bloquear aceptación del flujo y repetir el caso con evidencia verificable.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Servicios compartidos</w:t>
            </w:r>
          </w:p>
        </w:tc>
        <w:tc>
          <w:tcPr>
            <w:tcW w:type="dxa" w:w="633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Disponer de entorno separado, cuentas y datos autorizados antes del recorrido.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Recuperación no comprobada</w:t>
            </w:r>
          </w:p>
        </w:tc>
        <w:tc>
          <w:tcPr>
            <w:tcW w:type="dxa" w:w="633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Ensayar instalación y restauración aisladas con catálogos aprobados.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Entregables: SRS y matriz, Diseño, Plan de Pruebas, Manual Técnico, Cierre e Innovación, Carta Gantt y Modelo de Base de Datos; junto con el código del MVP. La aceptación exige resolver bloqueantes, verificar recorridos y revisar evidencias. Equipo, mandante y evaluación académica deben registrar su conformidad; no se incorporan firmas ni aprobaciones presuntas.</w:t>
      </w:r>
    </w:p>
    <w:p>
      <w:pPr>
        <w:widowControl/>
      </w:pPr>
      <w:hyperlink r:id="rId14">
        <w:r>
          <w:rPr>
            <w:color w:val="1565C0"/>
          </w:rPr>
          <w:t>Resultados reportados y pendientes de cierre</w:t>
        </w:r>
      </w:hyperlink>
    </w:p>
    <w:sectPr w:rsidR="00E43F83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42590" w14:textId="77777777" w:rsidR="00A31996" w:rsidRDefault="00A31996">
      <w:pPr>
        <w:spacing w:after="0" w:line="240" w:lineRule="auto"/>
      </w:pPr>
      <w:r>
        <w:separator/>
      </w:r>
    </w:p>
  </w:endnote>
  <w:endnote w:type="continuationSeparator" w:id="0">
    <w:p w14:paraId="425A4104" w14:textId="77777777" w:rsidR="00A31996" w:rsidRDefault="00A31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589FA" w14:textId="77777777" w:rsidR="004776A8" w:rsidRDefault="002A503A">
    <w:pPr>
      <w:pStyle w:val="Piedepgina"/>
      <w:jc w:val="right"/>
    </w:pPr>
    <w:r>
      <w:rPr>
        <w:rFonts w:eastAsia="Calibri"/>
        <w:color w:val="5F6B76"/>
        <w:sz w:val="17"/>
      </w:rPr>
      <w:t xml:space="preserve">Duoc UC · Ingeniería en Informática    |    Página </w:t>
    </w:r>
    <w:r>
      <w:rPr>
        <w:rFonts w:eastAsia="Calibri"/>
        <w:color w:val="5F6B76"/>
        <w:sz w:val="17"/>
      </w:rPr>
      <w:fldChar w:fldCharType="begin"/>
    </w:r>
    <w:r>
      <w:rPr>
        <w:rFonts w:eastAsia="Calibri"/>
        <w:color w:val="5F6B76"/>
        <w:sz w:val="17"/>
      </w:rPr>
      <w:instrText xml:space="preserve"> PAGE </w:instrText>
    </w:r>
    <w:r>
      <w:rPr>
        <w:rFonts w:eastAsia="Calibri"/>
        <w:color w:val="5F6B76"/>
        <w:sz w:val="17"/>
      </w:rPr>
      <w:fldChar w:fldCharType="separate"/>
    </w:r>
    <w:r w:rsidR="00A130FC">
      <w:rPr>
        <w:rFonts w:eastAsia="Calibri"/>
        <w:noProof/>
        <w:color w:val="5F6B76"/>
        <w:sz w:val="17"/>
      </w:rPr>
      <w:t>1</w:t>
    </w:r>
    <w:r>
      <w:rPr>
        <w:rFonts w:eastAsia="Calibri"/>
        <w:color w:val="5F6B7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93BBD" w14:textId="77777777" w:rsidR="00A31996" w:rsidRDefault="00A31996">
      <w:pPr>
        <w:spacing w:after="0" w:line="240" w:lineRule="auto"/>
      </w:pPr>
      <w:r>
        <w:separator/>
      </w:r>
    </w:p>
  </w:footnote>
  <w:footnote w:type="continuationSeparator" w:id="0">
    <w:p w14:paraId="43FA5043" w14:textId="77777777" w:rsidR="00A31996" w:rsidRDefault="00A319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9FCE5" w14:textId="77777777" w:rsidR="004776A8" w:rsidRDefault="002A503A">
    <w:pPr>
      <w:pStyle w:val="Encabezado"/>
    </w:pPr>
    <w:r>
      <w:rPr>
        <w:rFonts w:eastAsia="Calibri"/>
        <w:b/>
        <w:color w:val="5F6B76"/>
        <w:sz w:val="17"/>
      </w:rPr>
      <w:t>PMP SUITE  |  CAPSTONE</w:t>
    </w:r>
    <w:r>
      <w:rPr>
        <w:rFonts w:eastAsia="Calibri"/>
        <w:color w:val="5F6B76"/>
        <w:sz w:val="17"/>
      </w:rPr>
      <w:t xml:space="preserve">     Acta de Constitución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770405">
    <w:abstractNumId w:val="8"/>
  </w:num>
  <w:num w:numId="2" w16cid:durableId="927469581">
    <w:abstractNumId w:val="6"/>
  </w:num>
  <w:num w:numId="3" w16cid:durableId="150567871">
    <w:abstractNumId w:val="5"/>
  </w:num>
  <w:num w:numId="4" w16cid:durableId="2112045197">
    <w:abstractNumId w:val="4"/>
  </w:num>
  <w:num w:numId="5" w16cid:durableId="14427788">
    <w:abstractNumId w:val="7"/>
  </w:num>
  <w:num w:numId="6" w16cid:durableId="1612281873">
    <w:abstractNumId w:val="3"/>
  </w:num>
  <w:num w:numId="7" w16cid:durableId="396784133">
    <w:abstractNumId w:val="2"/>
  </w:num>
  <w:num w:numId="8" w16cid:durableId="572085353">
    <w:abstractNumId w:val="1"/>
  </w:num>
  <w:num w:numId="9" w16cid:durableId="1624068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03A"/>
    <w:rsid w:val="002B4508"/>
    <w:rsid w:val="00326F90"/>
    <w:rsid w:val="004776A8"/>
    <w:rsid w:val="00795FA6"/>
    <w:rsid w:val="008344EE"/>
    <w:rsid w:val="0088229B"/>
    <w:rsid w:val="009B6EDC"/>
    <w:rsid w:val="00A130FC"/>
    <w:rsid w:val="00A31996"/>
    <w:rsid w:val="00AA1D8D"/>
    <w:rsid w:val="00B47730"/>
    <w:rsid w:val="00BC4B9F"/>
    <w:rsid w:val="00C07B96"/>
    <w:rsid w:val="00CB0664"/>
    <w:rsid w:val="00D712A1"/>
    <w:rsid w:val="00E43F83"/>
    <w:rsid w:val="00FC693F"/>
    <w:rsid w:val="00FD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377739"/>
  <w14:defaultImageDpi w14:val="300"/>
  <w15:docId w15:val="{F8A977C2-CD5B-4CE4-87E3-40266F430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color w:val="17212B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D1B2A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565C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7E7A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MP">
    <w:name w:val="Code PMP"/>
    <w:basedOn w:val="Normal"/>
    <w:pPr>
      <w:spacing w:after="60"/>
    </w:pPr>
    <w:rPr>
      <w:rFonts w:ascii="Consolas" w:hAnsi="Consolas"/>
      <w:sz w:val="18"/>
    </w:rPr>
  </w:style>
  <w:style w:type="paragraph" w:styleId="TDC1">
    <w:name w:val="toc 1"/>
    <w:basedOn w:val="Normal"/>
    <w:next w:val="Normal"/>
    <w:autoRedefine/>
    <w:uiPriority w:val="39"/>
    <w:unhideWhenUsed/>
    <w:rsid w:val="00D712A1"/>
    <w:pPr>
      <w:spacing w:after="0" w:line="252" w:lineRule="auto"/>
    </w:pPr>
    <w:rPr>
      <w:sz w:val="21"/>
    </w:rPr>
  </w:style>
  <w:style w:type="character" w:styleId="Hipervnculo">
    <w:name w:val="Hyperlink"/>
    <w:basedOn w:val="Fuentedeprrafopredeter"/>
    <w:uiPriority w:val="99"/>
    <w:unhideWhenUsed/>
    <w:rsid w:val="00D712A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yperlink" Target="06_Carta_Gantt_PMP_Suite_V2.0.xlsx" TargetMode="External"/><Relationship Id="rId14" Type="http://schemas.openxmlformats.org/officeDocument/2006/relationships/hyperlink" Target="../../../ESTADO_Y_PENDIENTE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2961</Words>
  <Characters>16287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Constitución del Proyecto</dc:title>
  <dc:subject>PMP Suite V2.0 · Metodología en cascada</dc:subject>
  <dc:creator>Rafael Oteiza · Matías Garrido · Luis Arenas</dc:creator>
  <cp:keywords>PMP Suite, Capstone, Cascada, Duoc UC</cp:keywords>
  <dc:description/>
  <cp:lastModifiedBy>Rafael Oteiza</cp:lastModifiedBy>
  <cp:revision>5</cp:revision>
  <dcterms:created xsi:type="dcterms:W3CDTF">2013-12-23T23:15:00Z</dcterms:created>
  <dcterms:modified xsi:type="dcterms:W3CDTF">2026-10-13T18:26:00Z</dcterms:modified>
  <cp:category/>
  <cp:version>2.0</cp:version>
</cp:coreProperties>
</file>