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06B77" w14:textId="77777777" w:rsidR="00A635C9" w:rsidRDefault="00A635C9">
      <w:pPr>
        <w:spacing w:after="560"/>
      </w:pPr>
    </w:p>
    <w:p w14:paraId="4B577C50" w14:textId="77777777" w:rsidR="00A635C9" w:rsidRDefault="00163BDE">
      <w:pPr>
        <w:spacing w:after="600"/>
        <w:jc w:val="center"/>
      </w:pPr>
      <w:r>
        <w:rPr>
          <w:noProof/>
        </w:rPr>
        <w:drawing>
          <wp:inline distT="0" distB="0" distL="0" distR="0" wp14:anchorId="728809B4" wp14:editId="67E93945">
            <wp:extent cx="3337560" cy="925651"/>
            <wp:effectExtent l="0" t="0" r="0" b="0"/>
            <wp:docPr id="1" name="Picture 1" descr="Logotipo horizontal oficial de PMP Suite" title="Logotipo horizontal oficial de PMP Su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MP_Suite_Logo_Horizontal_Color_102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925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8D8DC" w14:textId="77777777" w:rsidR="00A635C9" w:rsidRDefault="00163BDE">
      <w:pPr>
        <w:spacing w:after="280"/>
        <w:jc w:val="center"/>
      </w:pPr>
      <w:r>
        <w:rPr>
          <w:rFonts w:eastAsia="Calibri"/>
          <w:b/>
          <w:color w:val="007E7A"/>
          <w:sz w:val="20"/>
        </w:rPr>
        <w:t>METODOLOGÍA TRADICIONAL · CASCADA</w:t>
      </w:r>
    </w:p>
    <w:p w14:paraId="63B45AEB" w14:textId="77777777" w:rsidR="00A635C9" w:rsidRDefault="00163BDE">
      <w:pPr>
        <w:pStyle w:val="Ttulo"/>
        <w:spacing w:after="160"/>
        <w:jc w:val="center"/>
      </w:pPr>
      <w:r>
        <w:rPr>
          <w:rFonts w:ascii="Calibri" w:hAnsi="Calibri"/>
          <w:b/>
          <w:color w:val="000000"/>
          <w:sz w:val="50"/>
        </w:rPr>
        <w:t>Especificación de Requisitos de Software</w:t>
      </w:r>
    </w:p>
    <w:p w14:paraId="1910D1E6" w14:textId="77777777" w:rsidR="00A635C9" w:rsidRDefault="00163BDE">
      <w:pPr>
        <w:spacing w:after="680"/>
        <w:jc w:val="center"/>
      </w:pPr>
      <w:r>
        <w:t>Requisitos, reglas de negocio y casos de uso</w:t>
      </w:r>
    </w:p>
    <w:tbl>
      <w:tblPr>
        <w:tblStyle w:val="Tablaconcuadrcula"/>
        <w:tblW w:w="9360" w:type="dxa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A635C9" w14:paraId="5FF2A365" w14:textId="77777777">
        <w:tc>
          <w:tcPr>
            <w:tcW w:w="27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26F1" w14:textId="77777777" w:rsidR="00A635C9" w:rsidRDefault="00163BDE">
            <w:pPr>
              <w:spacing w:after="0"/>
            </w:pPr>
            <w:r>
              <w:rPr>
                <w:b/>
                <w:color w:val="0D1B2A"/>
                <w:sz w:val="19"/>
              </w:rPr>
              <w:t>Documento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FC2D9" w14:textId="77777777" w:rsidR="00A635C9" w:rsidRDefault="00163BDE">
            <w:pPr>
              <w:spacing w:after="0"/>
            </w:pPr>
            <w:r>
              <w:rPr>
                <w:sz w:val="20"/>
              </w:rPr>
              <w:t>Especificación de Requisitos de Software</w:t>
            </w:r>
          </w:p>
        </w:tc>
      </w:tr>
      <w:tr w:rsidR="00A635C9" w14:paraId="6C0316F1" w14:textId="77777777">
        <w:tc>
          <w:tcPr>
            <w:tcW w:w="27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34C1B" w14:textId="77777777" w:rsidR="00A635C9" w:rsidRDefault="00163BDE">
            <w:pPr>
              <w:spacing w:after="0"/>
            </w:pPr>
            <w:r>
              <w:rPr>
                <w:b/>
                <w:color w:val="0D1B2A"/>
                <w:sz w:val="19"/>
              </w:rPr>
              <w:t>Versión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B8FA9" w14:textId="77777777" w:rsidR="00A635C9" w:rsidRDefault="00163BDE">
            <w:pPr>
              <w:spacing w:after="0"/>
            </w:pPr>
            <w:r>
              <w:rPr>
                <w:sz w:val="20"/>
              </w:rPr>
              <w:t>V2.0 · Metodología en cascada</w:t>
            </w:r>
          </w:p>
        </w:tc>
      </w:tr>
      <w:tr w:rsidR="00A635C9" w14:paraId="40B289B1" w14:textId="77777777">
        <w:tc>
          <w:tcPr>
            <w:tcW w:w="27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E45B4" w14:textId="77777777" w:rsidR="00A635C9" w:rsidRDefault="00163BDE">
            <w:pPr>
              <w:spacing w:after="0"/>
            </w:pPr>
            <w:r>
              <w:rPr>
                <w:b/>
                <w:color w:val="0D1B2A"/>
                <w:sz w:val="19"/>
              </w:rPr>
              <w:t>Equipo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5148F" w14:textId="77777777" w:rsidR="00A635C9" w:rsidRDefault="00163BDE">
            <w:pPr>
              <w:spacing w:after="0"/>
            </w:pPr>
            <w:r>
              <w:rPr>
                <w:sz w:val="20"/>
              </w:rPr>
              <w:t>Rafael Oteiza · Matías Garrido · Luis Arenas</w:t>
            </w:r>
          </w:p>
        </w:tc>
      </w:tr>
      <w:tr w:rsidR="00A635C9" w14:paraId="6A0500DE" w14:textId="77777777">
        <w:tc>
          <w:tcPr>
            <w:tcW w:w="27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919AE" w14:textId="77777777" w:rsidR="00A635C9" w:rsidRDefault="00163BDE">
            <w:pPr>
              <w:spacing w:after="0"/>
            </w:pPr>
            <w:r>
              <w:rPr>
                <w:b/>
                <w:color w:val="0D1B2A"/>
                <w:sz w:val="19"/>
              </w:rPr>
              <w:t>Estado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Revisión documental · 14 de octubre de 2026</w:t>
              <w:br/>
              <w:t>Aceptación académica y operacional pendiente</w:t>
            </w:r>
          </w:p>
        </w:tc>
      </w:tr>
    </w:tbl>
    <w:p w14:paraId="5CFF2647" w14:textId="77777777" w:rsidR="00A635C9" w:rsidRDefault="00A635C9">
      <w:pPr>
        <w:spacing w:after="440"/>
      </w:pPr>
    </w:p>
    <w:p w14:paraId="436C65A2" w14:textId="77777777" w:rsidR="00A635C9" w:rsidRDefault="00163BDE">
      <w:pPr>
        <w:jc w:val="center"/>
      </w:pPr>
      <w:r>
        <w:rPr>
          <w:rFonts w:eastAsia="Calibri"/>
          <w:i/>
          <w:color w:val="5F6B76"/>
          <w:sz w:val="19"/>
        </w:rPr>
        <w:t>PMP Suite · Tecnología que mantiene tu operación en movimiento</w:t>
      </w:r>
    </w:p>
    <w:p>
      <w:pPr>
        <w:pStyle w:val="Ttulo2"/>
      </w:pPr>
      <w:r>
        <w:t>Propósito y línea base</w:t>
      </w:r>
    </w:p>
    <w:p>
      <w:pPr>
        <w:widowControl/>
      </w:pPr>
      <w:r>
        <w:t>Este SRS especifica el alcance verificable del MVP y sirve de entrada al diseño y a las pruebas. PMP Suite conecta el ciclo físico y técnico de validadores y consolas mediante identidad, custodia, evidencia y permisos por rol.</w:t>
      </w:r>
    </w:p>
    <w:p>
      <w:pPr>
        <w:widowControl/>
      </w:pPr>
      <w:r>
        <w:t>La matriz V2.0 contiene 20 reglas de negocio, 210 requisitos funcionales y 38 no funcionales. Los rangos de este documento agrupan requisitos existentes; no crean IDs ni sustituyen el detalle de la matriz. La aceptación funcional y académica sigue pendiente de evidencia.</w:t>
      </w:r>
    </w:p>
    <w:p>
      <w:pPr>
        <w:widowControl/>
      </w:pPr>
      <w:r>
        <w:t>Contenido: problema y actores; reglas; requisitos funcionales; calidad; escenarios de uso; trazabilidad y aceptación.</w:t>
      </w:r>
    </w:p>
    <w:p>
      <w:pPr>
        <w:pStyle w:val="Ttulo1"/>
        <w:pageBreakBefore/>
        <w:spacing w:before="0"/>
      </w:pPr>
      <w:r>
        <w:t>1 Problema objetivos y actores</w:t>
      </w:r>
    </w:p>
    <w:p>
      <w:pPr>
        <w:widowControl/>
      </w:pPr>
      <w:r>
        <w:t>El proceso de mantenimiento distribuye series, guías, diagnósticos, repuestos y resultados de QA entre planillas, correos y registros técnicos. Esa dispersión dificulta identificar un equipo, reconstruir su custodia y distinguir una salida en tránsito de una recepción efectiva. Esta descripción corresponde al diagnóstico documental del proceso; no constituye una medición de campo ni demuestra una reducción cuantificada de tiempos.</w:t>
      </w:r>
    </w:p>
    <w:p>
      <w:pPr>
        <w:widowControl/>
      </w:pPr>
      <w:r>
        <w:t>Objetivo general: integrar una plataforma que centralice el ciclo de mantenimiento. Objetivos específicos: identificar actores y reglas, controlar identidad y transiciones, integrar clientes/API/persistencia, ofrecer información histórica y verificar el alcance con pruebas y recorridos por rol.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7416"/>
      </w:tblGrid>
      <w:tr>
        <w:trPr>
          <w:cantSplit/>
          <w:tblHeader/>
        </w:trPr>
        <w:tc>
          <w:tcPr>
            <w:tcW w:type="dxa" w:w="1944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Rol</w:t>
            </w:r>
          </w:p>
        </w:tc>
        <w:tc>
          <w:tcPr>
            <w:tcW w:type="dxa" w:w="7416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Responsabilidad y límite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Admin</w:t>
            </w:r>
          </w:p>
        </w:tc>
        <w:tc>
          <w:tcPr>
            <w:tcW w:type="dxa" w:w="7416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Gestiona usuarios y consultas autorizadas. No hereda movimientos físicos ni facultades QA.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Gerente</w:t>
            </w:r>
          </w:p>
        </w:tc>
        <w:tc>
          <w:tcPr>
            <w:tcW w:type="dxa" w:w="7416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Consulta información operacional autorizada. No realiza escrituras operacionales.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Logística</w:t>
            </w:r>
          </w:p>
        </w:tc>
        <w:tc>
          <w:tcPr>
            <w:tcW w:type="dxa" w:w="7416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Gestiona maestros, recepción, despacho, retiros, stock y entregas de repuestos.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Jefe de Laboratorio</w:t>
            </w:r>
          </w:p>
        </w:tc>
        <w:tc>
          <w:tcPr>
            <w:tcW w:type="dxa" w:w="7416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Recibe y despacha en Lab, asigna técnicos y supervisa carga y SLA.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Técnico Lab</w:t>
            </w:r>
          </w:p>
        </w:tc>
        <w:tc>
          <w:tcPr>
            <w:tcW w:type="dxa" w:w="7416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Diagnostica, interviene, prueba y cierra solo sus OS asignadas; no administra stock.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QA</w:t>
            </w:r>
          </w:p>
        </w:tc>
        <w:tc>
          <w:tcPr>
            <w:tcW w:type="dxa" w:w="7416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Recibe, ejecuta Ambiente y pruebas, dictamina y confirma su salida física.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Técnico Terreno</w:t>
            </w:r>
          </w:p>
        </w:tc>
        <w:tc>
          <w:tcPr>
            <w:tcW w:type="dxa" w:w="7416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Reporta fallas, ejecuta retiros e instalaciones asignadas y consulta historia técnica restringida.</w:t>
            </w:r>
          </w:p>
        </w:tc>
      </w:tr>
    </w:tbl>
    <w:p>
      <w:pPr>
        <w:widowControl/>
        <w:spacing w:after="0"/>
      </w:pPr>
    </w:p>
    <w:p>
      <w:pPr>
        <w:pStyle w:val="Ttulo2"/>
      </w:pPr>
      <w:r>
        <w:t>Alcance y restricciones</w:t>
      </w:r>
    </w:p>
    <w:p>
      <w:pPr>
        <w:widowControl/>
      </w:pPr>
      <w:r>
        <w:t>Incluye activos, recepción inicial, casos/OS, retiro, Bodega, Laboratorio, QA, repuestos, instalación, usuarios, trazabilidad, dashboards, reportes y analítica histórica. Excluye integración externa productiva, certificación de producción y entrenamiento predictivo. Bridge correlaciona referencias y no mueve stock.</w:t>
      </w:r>
    </w:p>
    <w:p>
      <w:pPr>
        <w:widowControl/>
      </w:pPr>
      <w:r>
        <w:t>OS es orden de servicio; IN, orden de instalación; PoD, daño físico sujeto a evidencia; NFF, falla no encontrada. El SLA del ciclo comienza en la recepción Lab confirmada. La copia reutiliza servicios compartidos: pruebas de escritura y carga requieren recursos separados y autorizados.</w:t>
      </w:r>
    </w:p>
    <w:p>
      <w:pPr>
        <w:pStyle w:val="Ttulo1"/>
        <w:pageBreakBefore/>
        <w:spacing w:before="0"/>
      </w:pPr>
      <w:r>
        <w:t>2 Reglas de negocio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52"/>
        <w:gridCol w:w="8208"/>
      </w:tblGrid>
      <w:tr>
        <w:trPr>
          <w:cantSplit/>
          <w:tblHeader/>
        </w:trPr>
        <w:tc>
          <w:tcPr>
            <w:tcW w:type="dxa" w:w="1152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8208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Condición observable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RN-01</w:t>
            </w:r>
          </w:p>
        </w:tc>
        <w:tc>
          <w:tcPr>
            <w:tcW w:type="dxa" w:w="8208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Identificar siempre por tipo de equipo y serie; una serie igual en otro tipo no fusiona activos.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RN-02</w:t>
            </w:r>
          </w:p>
        </w:tc>
        <w:tc>
          <w:tcPr>
            <w:tcW w:type="dxa" w:w="820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Validador con prefijo 72 válido deriva CVB35 y Mikroelektronika.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RN-03</w:t>
            </w:r>
          </w:p>
        </w:tc>
        <w:tc>
          <w:tcPr>
            <w:tcW w:type="dxa" w:w="8208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Validador con prefijo 74 o 75 válido deriva CVB45 y Mikroelektronika.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RN-04</w:t>
            </w:r>
          </w:p>
        </w:tc>
        <w:tc>
          <w:tcPr>
            <w:tcW w:type="dxa" w:w="820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Consola corresponde a N9715 y Waysion, conservando la serie original.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RN-05</w:t>
            </w:r>
          </w:p>
        </w:tc>
        <w:tc>
          <w:tcPr>
            <w:tcW w:type="dxa" w:w="8208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Prefijo desconocido se valida explícitamente; no se inventan modelo ni marca.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RN-06</w:t>
            </w:r>
          </w:p>
        </w:tc>
        <w:tc>
          <w:tcPr>
            <w:tcW w:type="dxa" w:w="820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Leer o validar identidad no cambia custodia; confirmar movimiento sí puede hacerlo.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RN-07</w:t>
            </w:r>
          </w:p>
        </w:tc>
        <w:tc>
          <w:tcPr>
            <w:tcW w:type="dxa" w:w="8208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Salida deja tránsito. Recepción exige confirmación y evidencia propias del destino.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RN-08</w:t>
            </w:r>
          </w:p>
        </w:tc>
        <w:tc>
          <w:tcPr>
            <w:tcW w:type="dxa" w:w="820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Rechazar evidencia de otro activo, estación, propósito o ciclo.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RN-09</w:t>
            </w:r>
          </w:p>
        </w:tc>
        <w:tc>
          <w:tcPr>
            <w:tcW w:type="dxa" w:w="8208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Tipo y serie de una OS son inmutables; conservar sus relaciones históricas.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RN-10</w:t>
            </w:r>
          </w:p>
        </w:tc>
        <w:tc>
          <w:tcPr>
            <w:tcW w:type="dxa" w:w="820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Una correlación Bridge no crea OS ni cambia stock o custodia.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RN-11</w:t>
            </w:r>
          </w:p>
        </w:tc>
        <w:tc>
          <w:tcPr>
            <w:tcW w:type="dxa" w:w="8208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La IN nace al confirmar despacho Bodega a Terreno, nunca al seleccionar o leer.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RN-12</w:t>
            </w:r>
          </w:p>
        </w:tc>
        <w:tc>
          <w:tcPr>
            <w:tcW w:type="dxa" w:w="820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Admin no tiene permiso operacional universal; denegar acciones no concedidas.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RN-13</w:t>
            </w:r>
          </w:p>
        </w:tc>
        <w:tc>
          <w:tcPr>
            <w:tcW w:type="dxa" w:w="8208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Gerente consulta y recibe 403 ante escrituras operacionales.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RN-14</w:t>
            </w:r>
          </w:p>
        </w:tc>
        <w:tc>
          <w:tcPr>
            <w:tcW w:type="dxa" w:w="820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Técnicos actúan sobre trabajo propio/autorizado; denegar también por acceso directo.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RN-15</w:t>
            </w:r>
          </w:p>
        </w:tc>
        <w:tc>
          <w:tcPr>
            <w:tcW w:type="dxa" w:w="8208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Técnico Lab solicita repuestos; no ajusta stock ni confirma entrega logística.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RN-16</w:t>
            </w:r>
          </w:p>
        </w:tc>
        <w:tc>
          <w:tcPr>
            <w:tcW w:type="dxa" w:w="820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QA toma trabajo sin asignación Admin; Admin no hereda etapas QA.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RN-17</w:t>
            </w:r>
          </w:p>
        </w:tc>
        <w:tc>
          <w:tcPr>
            <w:tcW w:type="dxa" w:w="8208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Error de consulta se muestra como error; cero o vacío requieren respuesta válida.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RN-18</w:t>
            </w:r>
          </w:p>
        </w:tc>
        <w:tc>
          <w:tcPr>
            <w:tcW w:type="dxa" w:w="820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Autocompletar relación única conocida; pedir selección cuando hay varias válidas.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RN-19</w:t>
            </w:r>
          </w:p>
        </w:tc>
        <w:tc>
          <w:tcPr>
            <w:tcW w:type="dxa" w:w="8208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Rechazo QA abre nuevo ciclo físico: retorno por Bodega, despacho y recepción Lab nuevos.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RN-20</w:t>
            </w:r>
          </w:p>
        </w:tc>
        <w:tc>
          <w:tcPr>
            <w:tcW w:type="dxa" w:w="820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Preservar historia crítica; rechazar modificaciones o eliminaciones no autorizadas.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RN-19 exige nueva evidencia e inicio de SLA en la recepción Lab correspondiente; el dictamen QA no traslada el equipo.</w:t>
      </w:r>
    </w:p>
    <w:p>
      <w:pPr>
        <w:pStyle w:val="Ttulo1"/>
        <w:pageBreakBefore/>
        <w:spacing w:before="0"/>
      </w:pPr>
      <w:r>
        <w:t>3 Requisitos de identidad y origen</w:t>
      </w:r>
    </w:p>
    <w:p>
      <w:pPr>
        <w:widowControl/>
      </w:pPr>
      <w:r>
        <w:t>La API aplica autorización sobre acción y recurso. Ocultar controles del cliente no sustituye esa validación. Las condiciones siguientes son criterios de especificación, no resultados de prueba.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7344"/>
      </w:tblGrid>
      <w:tr>
        <w:trPr>
          <w:cantSplit/>
          <w:tblHeader/>
        </w:trPr>
        <w:tc>
          <w:tcPr>
            <w:tcW w:type="dxa" w:w="2016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Identificadores</w:t>
            </w:r>
          </w:p>
        </w:tc>
        <w:tc>
          <w:tcPr>
            <w:tcW w:type="dxa" w:w="7344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Requisito y aceptación observable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RF-AUT-001 a 008</w:t>
            </w:r>
          </w:p>
        </w:tc>
        <w:tc>
          <w:tcPr>
            <w:tcW w:type="dxa" w:w="7344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Firebase autentica; PostgreSQL resuelve usuario y rol. Se rechaza usuario inexistente, inactivo o con conflicto UID/correo; manipular claims no concede permisos. /api/auth/me devuelve la identidad propia. Cambio de contraseña con reautenticación, recuperación autorizada e invalidación del contexto al cambiar sesión.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RF-USR-001 a 011</w:t>
            </w:r>
          </w:p>
        </w:tc>
        <w:tc>
          <w:tcPr>
            <w:tcW w:type="dxa" w:w="7344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Solo Admin gestiona usuarios y su vínculo Firebase. Se validan correo único y rol oficial; contraseña inicial opcional, mínimo 8 caracteres si se proporciona. Se protegen último Admin, autodesactivación y cambio del propio rol. No se almacenan contraseñas en PostgreSQL.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RF-MST-001 a 006</w:t>
            </w:r>
          </w:p>
        </w:tc>
        <w:tc>
          <w:tcPr>
            <w:tcW w:type="dxa" w:w="7344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Consultar terminales y operadores; validar su relación y mantener buses por PPU. El formato visual no cambia el valor persistido. No eliminar duplicados maestros sin análisis y autorización.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RF-ACT-001 a 015</w:t>
            </w:r>
          </w:p>
        </w:tc>
        <w:tc>
          <w:tcPr>
            <w:tcW w:type="dxa" w:w="7344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Registrar tipo, serie, origen y fecha sin OS; derivar identidad y evitar duplicados. El alta registra ALTA_ACTIVO. Solo una recepción física válida produce RECEPCION_INICIAL y HABILITADO_INSTALACION. SCANNER o MANUAL_AUTORIZADO de Logística según reglas. Se rechaza recepción inicial con circuito u OS existente y evidencia vencida para elegibilidad.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RF-REQ-001 a 018</w:t>
            </w:r>
          </w:p>
        </w:tc>
        <w:tc>
          <w:tcPr>
            <w:tcW w:type="dxa" w:w="7344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Crear requerimiento sobre activo registrado y en operación en el bus real. Validar terminal, operador, falla y fecha. Origen ARANDA o INTERNO; referencia AR-&lt;dígitos&gt; o caso INT-xxxxxx. Clasificar MANTENCION o POD. Evitar referencia duplicada e intervención activa paralela. Caso y OS nacen en transacción; registrar PoD cuando corresponda.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RF-OS-001 a 010</w:t>
            </w:r>
          </w:p>
        </w:tc>
        <w:tc>
          <w:tcPr>
            <w:tcW w:type="dxa" w:w="7344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Códigos MV, MC, PDV, PDC e IN generados por Backend/BD. Identidad y relaciones de origen son inmutables. IN usa correlativo independiente; una reparación no se reutiliza para representar reemplazo.</w:t>
            </w:r>
          </w:p>
        </w:tc>
      </w:tr>
    </w:tbl>
    <w:p>
      <w:pPr>
        <w:widowControl/>
        <w:spacing w:after="0"/>
      </w:pPr>
    </w:p>
    <w:p>
      <w:pPr>
        <w:pStyle w:val="Ttulo2"/>
      </w:pPr>
      <w:r>
        <w:t>Separación de registro y disponibilidad</w:t>
      </w:r>
    </w:p>
    <w:p>
      <w:pPr>
        <w:widowControl/>
      </w:pPr>
      <w:r>
        <w:t>El alta incorpora el maestro y ALTA_ACTIVO. Solo la recepción física válida habilita instalación y deja un evento de origen de stock. No se crea una OS ficticia para representar un activo nuevo; una lectura aislada conserva el estado previo.</w:t>
      </w:r>
    </w:p>
    <w:p>
      <w:pPr>
        <w:widowControl/>
      </w:pPr>
      <w:r>
        <w:t>Verificar token Firebase y rechazarlo si está revocado. Resolver usuario activo y vínculo UID/correo en PostgreSQL antes de usar su rol; un rol enviado por el cliente no modifica permisos.</w:t>
      </w:r>
    </w:p>
    <w:p>
      <w:pPr>
        <w:pStyle w:val="Ttulo1"/>
        <w:pageBreakBefore/>
        <w:spacing w:before="0"/>
      </w:pPr>
      <w:r>
        <w:t>4 Requisitos del ciclo de mantenimiento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7344"/>
      </w:tblGrid>
      <w:tr>
        <w:trPr>
          <w:cantSplit/>
          <w:tblHeader/>
        </w:trPr>
        <w:tc>
          <w:tcPr>
            <w:tcW w:type="dxa" w:w="2016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Identificadores</w:t>
            </w:r>
          </w:p>
        </w:tc>
        <w:tc>
          <w:tcPr>
            <w:tcW w:type="dxa" w:w="7344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Requisito y aceptación observable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RF-TER-001 a 013</w:t>
            </w:r>
          </w:p>
        </w:tc>
        <w:tc>
          <w:tcPr>
            <w:tcW w:type="dxa" w:w="7344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Terreno consulta trabajo autorizado, reporta fallas y confirma retiro con identidad/evidencia y foto PoD si aplica. Logística asigna retiros. El retiro deja tránsito; instalación exitosa deja el activo operativo. Historial técnico restringido.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RF-BOD-001 a 013</w:t>
            </w:r>
          </w:p>
        </w:tc>
        <w:tc>
          <w:tcPr>
            <w:tcW w:type="dxa" w:w="7344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Separar cola, retiro, recepción y despacho. Confirmar recepción con evidencia propia. Salida a Lab deja En camino, sin asignación ni trabajo técnico. Contar activos únicos; colas y badges deben coincidir.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RF-LAB-001 a 013</w:t>
            </w:r>
          </w:p>
        </w:tc>
        <w:tc>
          <w:tcPr>
            <w:tcW w:type="dxa" w:w="7344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Jefe Lab valida y confirma recepción, inicia SLA del ciclo y asigna técnico activo. Relectura no reinicia SLA; asignación no mueve custodia. Cierre técnico y salida física son acciones distintas.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RF-LTW-001 a 021</w:t>
            </w:r>
          </w:p>
        </w:tc>
        <w:tc>
          <w:tcPr>
            <w:tcW w:type="dxa" w:w="7344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Técnico trabaja solo OS recibida y asignada. Diagnóstico CONFIRMADA, DIFERENTE, NFF, POD u OTRO; intervención y pruebas Manual/Test MK. Control de revisión concurrente. Cierre REPARADO, NFF o POD coherente, con pruebas aprobadas y sin repuesto pendiente. Conservar rechazo QA previo.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RF-REP-001 a 009</w:t>
            </w:r>
          </w:p>
        </w:tc>
        <w:tc>
          <w:tcPr>
            <w:tcW w:type="dxa" w:w="7344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Logística entrega solicitud pendiente validando categoría y saldo. Descontar stock y registrar LOGISTICA_ENTREGA_REPUESTO en transacción; reintento compatible sin duplicación. Técnico solicita necesidad, sin ID/cantidad de stock ni ajuste libre.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RF-QA-001 a 018</w:t>
            </w:r>
          </w:p>
        </w:tc>
        <w:tc>
          <w:tcPr>
            <w:tcW w:type="dxa" w:w="7344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Bodega confirma salida a QA; QA confirma recepción, toma trabajo, registra Ambiente/pruebas y dictamina OPERATIVO o RECHAZADO con motivo. Dictamen no mueve custodia. QA confirma salida y Bodega recibe; rechazo exige nuevo ciclo Lab. Rutas legacy retiradas: 410.</w:t>
            </w:r>
          </w:p>
        </w:tc>
      </w:tr>
    </w:tbl>
    <w:p>
      <w:pPr>
        <w:widowControl/>
        <w:spacing w:after="0"/>
      </w:pPr>
    </w:p>
    <w:p>
      <w:pPr>
        <w:pStyle w:val="Ttulo2"/>
      </w:pPr>
      <w:r>
        <w:t>Punto de control del flujo</w:t>
      </w:r>
    </w:p>
    <w:p>
      <w:pPr>
        <w:widowControl/>
      </w:pPr>
      <w:r>
        <w:t>Ni cierre de reparación ni dictamen favorable acreditan presencia en Bodega. Antes de habilitar stock reparado se comprueban el resultado QA, la recepción posterior y la ausencia de una intervención incompatible.</w:t>
      </w:r>
    </w:p>
    <w:p>
      <w:pPr>
        <w:pStyle w:val="Ttulo1"/>
        <w:pageBreakBefore/>
        <w:spacing w:before="0"/>
      </w:pPr>
      <w:r>
        <w:t>5 Instalación consultas y experiencia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7344"/>
      </w:tblGrid>
      <w:tr>
        <w:trPr>
          <w:cantSplit/>
          <w:tblHeader/>
        </w:trPr>
        <w:tc>
          <w:tcPr>
            <w:tcW w:type="dxa" w:w="2016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Identificadores</w:t>
            </w:r>
          </w:p>
        </w:tc>
        <w:tc>
          <w:tcPr>
            <w:tcW w:type="dxa" w:w="7344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Requisito y aceptación observable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RF-INV-001 a 012</w:t>
            </w:r>
          </w:p>
        </w:tc>
        <w:tc>
          <w:tcPr>
            <w:tcW w:type="dxa" w:w="7344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Distinguir parque global, stock físico y disponibilidad. Stock inicial y reparado conservan orígenes distintos. Intervención activa excluye elegibilidad. Validar contexto, identidad y evidencia; manual autorizado exige motivo/presencia. Confirmar despacho crea IN y SALIDA_BODEGA_TERRENO atómicamente, sin doble consumo del origen.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RF-BRG-001 a 005</w:t>
              <w:br/>
              <w:t>RF-TRZ-001 a 006</w:t>
            </w:r>
          </w:p>
        </w:tc>
        <w:tc>
          <w:tcPr>
            <w:tcW w:type="dxa" w:w="7344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Buscar por referencia, serie u OS. Solo Logística crea correlación coincidente con identidad; vínculo inmutable sin efectos operacionales. Historia agrupa por tipo/serie, referencias, eventos y cambios. Búsquedas respetan RBAC. RF-TRZ-005 entrega proyección técnica restringida a Terreno y Jefe Lab; excluye auditoría administrativa, stock y metadatos restringidos antes de serializar JSON.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RF-DASH-001 a 010</w:t>
            </w:r>
          </w:p>
        </w:tc>
        <w:tc>
          <w:tcPr>
            <w:tcW w:type="dxa" w:w="7344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Separar parque sin doble conteo, OS activas y custodia real. Dashboard ejecutivo para Admin/Gerente; resúmenes Bodega, Lab y QA según permisos. Badges coinciden con colas. RF-DASH-009 mantiene indicadores Lab para Admin, Gerente y Jefe Lab. Centro de reportes/Excel incluye Logística solo en su ámbito, sin habilitar Técnico Lab, QA ni Terreno. Exporta todos los filtrados permitidos o aborta descarga parcial; series como texto.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RF-IA-001 a 007</w:t>
            </w:r>
          </w:p>
        </w:tc>
        <w:tc>
          <w:tcPr>
            <w:tcW w:type="dxa" w:w="7344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Analizador Python bajo demanda, lectura PostgreSQL y JSON válido. RF-IA-004 permite ai.read a Admin, Gerente, Jefe Lab y Logística; rechaza restantes roles incluso con solicitud manipulada. Score no modifica operación. Identificar método heurístico, condiciones y límites; no declarar precisión, recall ni modelo entrenado inexistentes.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RF-UX-001 a 008</w:t>
              <w:br/>
              <w:t>RF-MOB-001 a 007</w:t>
            </w:r>
          </w:p>
        </w:tc>
        <w:tc>
          <w:tcPr>
            <w:tcW w:type="dxa" w:w="7344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Navegación y URL respetan capacidades. Web Claro/Oscuro; Mobile además Automático, con preferencia persistente. Feedback inline y controles nativos cuando corresponda; responsive sin overflow accidental y objetivos táctiles de al menos 44 puntos. Mobile permite login, OS propias, falla, retiro, instalación, historia técnica y perfil/seguridad/apariencia propios.</w:t>
            </w:r>
          </w:p>
        </w:tc>
      </w:tr>
    </w:tbl>
    <w:p>
      <w:pPr>
        <w:widowControl/>
        <w:spacing w:after="0"/>
      </w:pPr>
    </w:p>
    <w:p>
      <w:pPr>
        <w:pStyle w:val="Ttulo2"/>
      </w:pPr>
      <w:r>
        <w:t>Alcance de la analítica</w:t>
      </w:r>
    </w:p>
    <w:p>
      <w:pPr>
        <w:widowControl/>
      </w:pPr>
      <w:r>
        <w:t>predictive-report es un nombre heredado. El método es descriptivo/heurístico, bajo demanda y sin entrenamiento certificado. Recurrencia requiere tres intervalos y treinta días; demanda usa noventa días, tres entregas reales y treinta días observados. No confundir intervalo entre reportes con MTBF, ni entrega de repuesto con instalación. No generar compras ni OS automáticas.</w:t>
      </w:r>
    </w:p>
    <w:p>
      <w:pPr>
        <w:pStyle w:val="Ttulo1"/>
        <w:pageBreakBefore/>
        <w:spacing w:before="0"/>
      </w:pPr>
      <w:r>
        <w:t>6 Calidad y condiciones de evaluación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7272"/>
      </w:tblGrid>
      <w:tr>
        <w:trPr>
          <w:cantSplit/>
          <w:tblHeader/>
        </w:trPr>
        <w:tc>
          <w:tcPr>
            <w:tcW w:type="dxa" w:w="2088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Identificadores</w:t>
            </w:r>
          </w:p>
        </w:tc>
        <w:tc>
          <w:tcPr>
            <w:tcW w:type="dxa" w:w="7272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Condición verificable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RNF-SEC-001 a 008</w:t>
            </w:r>
          </w:p>
        </w:tc>
        <w:tc>
          <w:tcPr>
            <w:tcW w:type="dxa" w:w="7272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Validar token y usuario vigente; RBAC en servidor, sin secretos en registros/clientes. Procesar fotos después de autorización; proteger último Admin.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RNF-DAT-001 a 007</w:t>
            </w:r>
          </w:p>
        </w:tc>
        <w:tc>
          <w:tcPr>
            <w:tcW w:type="dxa" w:w="727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Transacciones, identidad inmutable e historia crítica append-only; evidencia del ciclo actual; reintento compatible idempotente; FKs y checks.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RNF-PER-001 a 004</w:t>
            </w:r>
          </w:p>
        </w:tc>
        <w:tc>
          <w:tcPr>
            <w:tcW w:type="dxa" w:w="7272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Paginación y límites de consulta, índices aplicables y revisión de planes. Cargas únicamente en recursos aislados identificados.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RNF-REL-001 a 004</w:t>
            </w:r>
          </w:p>
        </w:tc>
        <w:tc>
          <w:tcPr>
            <w:tcW w:type="dxa" w:w="727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Errores de dominio controlados, sin SQL ni secretos. Distinguir 401/403/409/422 de 500; no convertir fallo en vacío.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RNF-UX-001 a 006</w:t>
            </w:r>
          </w:p>
        </w:tc>
        <w:tc>
          <w:tcPr>
            <w:tcW w:type="dxa" w:w="7272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Texto e iconos además de color, foco visible, campos derivados consistentes y selección explícita cuando hay ambigüedad.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RNF-MAN-001 a 005</w:t>
            </w:r>
          </w:p>
        </w:tc>
        <w:tc>
          <w:tcPr>
            <w:tcW w:type="dxa" w:w="727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Capacidades e identidad compartidas; servicios y rutas separados. Mantener contratos y trazabilidad; respaldo y recuperación de cambios.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RNF-COM-001 a 004</w:t>
            </w:r>
          </w:p>
        </w:tc>
        <w:tc>
          <w:tcPr>
            <w:tcW w:type="dxa" w:w="7272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Web en navegadores documentados; Expo SDK 57 y dependencias compatibles. PostgreSQL operacional; Windows local. Ubuntu pendiente.</w:t>
            </w:r>
          </w:p>
        </w:tc>
      </w:tr>
    </w:tbl>
    <w:p>
      <w:pPr>
        <w:widowControl/>
        <w:spacing w:after="0"/>
      </w:pPr>
    </w:p>
    <w:p>
      <w:pPr>
        <w:pStyle w:val="Ttulo2"/>
      </w:pPr>
      <w:r>
        <w:t>Metas propuestas sin aprobación ni medición</w:t>
      </w:r>
    </w:p>
    <w:p>
      <w:pPr>
        <w:widowControl/>
      </w:pPr>
      <w:r>
        <w:t>Rendimiento y escalabilidad: dataset aislado de 10 000 activos y 100 000 eventos. Consultas de listado, serie y detalle con 20 y 40 usuarios, 15 minutos por nivel después de 2 de calentamiento. Propuesta: p95 ≤ 2 s a 20 y ≤ 3 s a 40; error inesperado &lt; 1 % y cero inconsistencias. Analítica/exportación se dimensionan por separado.</w:t>
      </w:r>
    </w:p>
    <w:p>
      <w:pPr>
        <w:widowControl/>
      </w:pPr>
      <w:r>
        <w:t>Disponibilidad: propuesta ≥ 99 % durante siete días, sondeo por minuto a health y consulta autenticada; informar observaciones perdidas. Recuperación: propuesta ≤ 60 minutos; RPO depende del intervalo de respaldo aún no acordado. No son SLA aprobados. Portabilidad exige instalación y recorrido en navegadores/dispositivos identificados.</w:t>
      </w:r>
    </w:p>
    <w:p>
      <w:pPr>
        <w:pStyle w:val="Ttulo1"/>
        <w:pageBreakBefore/>
        <w:spacing w:before="0"/>
      </w:pPr>
      <w:r>
        <w:t>7 Casos de uso de ingreso y trabajo técnico</w:t>
      </w:r>
    </w:p>
    <w:p>
      <w:pPr>
        <w:widowControl/>
      </w:pPr>
      <w:r>
        <w:t>Cada escenario conserva sus UC vigentes. Precondición transversal: sesión efectiva, permiso sobre recurso, datos autorizados y evidencia del ciclo cuando corresponda.</w:t>
      </w:r>
    </w:p>
    <w:p>
      <w:pPr>
        <w:pStyle w:val="Ttulo2"/>
      </w:pPr>
      <w:r>
        <w:t>UC 01 y 02 Alta y recepción inicial</w:t>
      </w:r>
    </w:p>
    <w:p>
      <w:pPr>
        <w:widowControl/>
      </w:pPr>
      <w:r>
        <w:t>Logística registra tipo/serie, origen y fecha de un activo sin duplicado ni circuito previo. Valida modelo/marca y registra ALTA_ACTIVO. Captura identidad mediante SCANNER o modo manual autorizado, confirma presencia y recepción. Resultado: RECEPCION_INICIAL, HABILITADO_INSTALACION y origen por evento, sin OS ficticia. Serie/prefijo incorrectos, circuito previo o evidencia no vigente bloquean confirmación. RF-ACT-001 a 015 y RF-MST-001 a 006.</w:t>
      </w:r>
    </w:p>
    <w:p>
      <w:pPr>
        <w:pStyle w:val="Ttulo2"/>
      </w:pPr>
      <w:r>
        <w:t>UC 03 a 06 Requerimiento y retiro</w:t>
      </w:r>
    </w:p>
    <w:p>
      <w:pPr>
        <w:widowControl/>
      </w:pPr>
      <w:r>
        <w:t>Con activo operativo y contexto válido, Logística registra requerimiento y Terreno puede reportar falla por su función autorizada. Validar bus, terminal, PST y referencia; crear caso/OS atómicamente. Asignar retiro, comprobar identidad y evidencia, confirmar salida. Bodega realiza su propia recepción. Referencia duplicada, intervención incompatible, discrepancia o PoD incompleto impiden confirmar. El retiro deja tránsito, no custodia Bodega. RF-REQ-001 a 018, RF-TER-001 a 010 y RF-BOD-001 a 005.</w:t>
      </w:r>
    </w:p>
    <w:p>
      <w:pPr>
        <w:pStyle w:val="Ttulo2"/>
      </w:pPr>
      <w:r>
        <w:t>UC 07 a 14 Laboratorio y UC 11 Repuestos</w:t>
      </w:r>
    </w:p>
    <w:p>
      <w:pPr>
        <w:widowControl/>
      </w:pPr>
      <w:r>
        <w:t>Bodega despacha; Jefe Lab valida y confirma recepción física, inicia SLA y asigna. Técnico abre su OS recibida, diagnostica, interviene, prueba y cierra con resultado coherente. Jefe Lab confirma salida y Bodega recibe. En tránsito u OS ajena se deniega; revisión obsoleta provoca conflicto; pruebas fallidas o solicitudes pendientes bloquean cierre. RF-BOD-009 a 013, RF-LAB-001 a 013 y RF-LTW-001 a 021.</w:t>
      </w:r>
    </w:p>
    <w:p>
      <w:pPr>
        <w:widowControl/>
      </w:pPr>
      <w:r>
        <w:t>Para PoD, técnico registra necesidad y motivo. Logística selecciona pieza/cantidad, valida categoría y saldo y confirma entrega transaccional. Reintento compatible no descuenta dos veces. Solicitar y cerrar trabajo técnico no descuentan stock. RF-LTW-017 a 020 y RF-REP-001 a 009.</w:t>
      </w:r>
    </w:p>
    <w:p>
      <w:pPr>
        <w:pStyle w:val="Ttulo1"/>
        <w:pageBreakBefore/>
        <w:spacing w:before="0"/>
      </w:pPr>
      <w:r>
        <w:t>8 Casos de uso de calidad e instalación</w:t>
      </w:r>
    </w:p>
    <w:p>
      <w:pPr>
        <w:pStyle w:val="Ttulo2"/>
      </w:pPr>
      <w:r>
        <w:t>UC 15 a 21 QA y continuidad de UC 20</w:t>
      </w:r>
    </w:p>
    <w:p>
      <w:pPr>
        <w:widowControl/>
      </w:pPr>
      <w:r>
        <w:t>Actores: Logística, QA, Jefe Lab y Técnico Lab. Precondición: trabajo técnico terminado y movimiento previo válido. Bodega confirma salida a QA. QA confirma recepción, registra Ambiente, pruebas y avances con revisión; emite OPERATIVO o RECHAZADO, confirma salida y Bodega recibe. RF-QA-001 a 018, RF-LAB-002 a 005, RF-LTW-021 y RN-19.</w:t>
      </w:r>
    </w:p>
    <w:p>
      <w:pPr>
        <w:widowControl/>
      </w:pPr>
      <w:r>
        <w:t>UC-20: si QA rechaza, registrar motivo y conservar antecedentes. Después del retorno y recepción Bodega, confirmar un nuevo despacho hacia Laboratorio. Jefe Lab valida y confirma una nueva recepción física antes de asignar o iniciar trabajo técnico. Esa recepción inicia el SLA del nuevo ciclo y exige evidencia nueva. No reutilizar el ciclo rechazado ni tratar el dictamen como traslado físico.</w:t>
      </w:r>
    </w:p>
    <w:p>
      <w:pPr>
        <w:pStyle w:val="Ttulo2"/>
      </w:pPr>
      <w:r>
        <w:t>UC 22 a 24 Despacho e instalación</w:t>
      </w:r>
    </w:p>
    <w:p>
      <w:pPr>
        <w:widowControl/>
      </w:pPr>
      <w:r>
        <w:t>Actores: Logística y Técnico Terreno. Con stock inicial o reparado elegible, contexto válido y evidencia vigente, Logística confirma despacho. La transacción crea IN y SALIDA_BODEGA_TERRENO y consume una sola vez el origen: stock_origen_evento para inicial o stock_origen_os para reparado. Seleccionar o escanear no crea IN. RF-INV-001 a 012, RF-OS-005 a 010, RF-TER-011 a 012 y RF-MOB-005.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92"/>
        <w:gridCol w:w="6768"/>
      </w:tblGrid>
      <w:tr>
        <w:trPr>
          <w:cantSplit/>
          <w:tblHeader/>
        </w:trPr>
        <w:tc>
          <w:tcPr>
            <w:tcW w:type="dxa" w:w="2592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Resultado en UC 24</w:t>
            </w:r>
          </w:p>
        </w:tc>
        <w:tc>
          <w:tcPr>
            <w:tcW w:type="dxa" w:w="6768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Efecto implementado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operativo = true</w:t>
            </w:r>
          </w:p>
        </w:tc>
        <w:tc>
          <w:tcPr>
            <w:tcW w:type="dxa" w:w="6768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INSTALACION_COMPLETADA; estado 13. Activo en operación.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operativo = false</w:t>
            </w:r>
          </w:p>
        </w:tc>
        <w:tc>
          <w:tcPr>
            <w:tcW w:type="dxa" w:w="676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INSTALACION_FALLIDA; estado 11. Retorno pendiente de recepción Bodega; no habilita stock.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Ambos resultados dejan de estar En ruta. Esta magnitud representa despacho vigente aún sin resultado de instalación. El fallo no equivale a recepción. Bodega debe validar y confirmar el retorno con evidencia correspondiente. La operación exige IN propia asignada, despacho vigente y bus coincidente.</w:t>
      </w:r>
    </w:p>
    <w:p>
      <w:pPr>
        <w:widowControl/>
      </w:pPr>
      <w:r>
        <w:t>Excepciones: origen ya consumido, evidencia reutilizada o contexto distinto se rechazan sin IN parcial. Ante error de red, consultar el estado antes de reintentar. Verificar éxito, fallo, retorno, concurrencia y ausencia de doble consumo.</w:t>
      </w:r>
    </w:p>
    <w:p>
      <w:pPr>
        <w:pStyle w:val="Ttulo1"/>
        <w:pageBreakBefore/>
        <w:spacing w:before="0"/>
      </w:pPr>
      <w:r>
        <w:t>9 Consultas trazabilidad y aceptación</w:t>
      </w:r>
    </w:p>
    <w:p>
      <w:pPr>
        <w:pStyle w:val="Ttulo2"/>
      </w:pPr>
      <w:r>
        <w:t>UC 25 y 26 y 31 a 35 Consultas autorizadas</w:t>
      </w:r>
    </w:p>
    <w:p>
      <w:pPr>
        <w:widowControl/>
      </w:pPr>
      <w:r>
        <w:t>El usuario elige activo, referencia o filtros; la API aplica permiso y proyección. Historia e indicadores muestran definición de magnitud y distinguen cero, falta de medición y error. Excel reúne todas las páginas filtradas, conserva series como texto y aborta una descarga incompleta. Consulta no modifica OS, stock ni custodia.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6984"/>
      </w:tblGrid>
      <w:tr>
        <w:trPr>
          <w:cantSplit/>
          <w:tblHeader/>
        </w:trPr>
        <w:tc>
          <w:tcPr>
            <w:tcW w:type="dxa" w:w="2376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Requisito conciliado</w:t>
            </w:r>
          </w:p>
        </w:tc>
        <w:tc>
          <w:tcPr>
            <w:tcW w:type="dxa" w:w="6984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Alcance que se conserva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RF-IA-004 · UC-35</w:t>
            </w:r>
          </w:p>
        </w:tc>
        <w:tc>
          <w:tcPr>
            <w:tcW w:type="dxa" w:w="6984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Admin, Gerente, Jefe Laboratorio y Logística acceden a ai.read. Técnico Lab, QA y Terreno se deniegan. Método heurístico explícito.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RF-TRZ-005</w:t>
            </w:r>
          </w:p>
        </w:tc>
        <w:tc>
          <w:tcPr>
            <w:tcW w:type="dxa" w:w="6984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Terreno y Jefe Lab reciben historia técnica restringida antes de serializar JSON; excluye auditoría, stock y metadatos administrativos.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RF-DASH-009</w:t>
            </w:r>
          </w:p>
        </w:tc>
        <w:tc>
          <w:tcPr>
            <w:tcW w:type="dxa" w:w="6984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Indicadores Lab: Admin, Gerente y Jefe Lab. Centro de reportes/Excel incluye Logística solo en su ámbito; no amplía roles del requisito Lab.</w:t>
            </w:r>
          </w:p>
        </w:tc>
      </w:tr>
    </w:tbl>
    <w:p>
      <w:pPr>
        <w:widowControl/>
        <w:spacing w:after="0"/>
      </w:pPr>
    </w:p>
    <w:p>
      <w:pPr>
        <w:pStyle w:val="Ttulo2"/>
      </w:pPr>
      <w:r>
        <w:t>Prioridades y condiciones de aceptación</w:t>
      </w:r>
    </w:p>
    <w:p>
      <w:pPr>
        <w:widowControl/>
      </w:pPr>
      <w:r>
        <w:t>Son críticos identidad, Auth/RBAC, custodia, OS, Lab, QA, inventario, repuestos e integridad. Toda ejecución debe vincular requisito, caso, versión, entorno, datos, esperado, observado y soporte. Identidad errónea, acceso indebido, doble consumo o pérdida de datos bloquean aceptación del flujo. Resolver y repetir los casos afectados.</w:t>
      </w:r>
    </w:p>
    <w:p>
      <w:pPr>
        <w:widowControl/>
      </w:pPr>
      <w:r>
        <w:t>Automatización y build no sustituyen siete roles ni cámara, QR, PoD, teclado y sesión en dispositivos reales. Aprobación académica y operacional requieren registro de sus responsables. Una meta propuesta solo pasa a línea base tras acuerdo; no se altera alcance por corrección editorial.</w:t>
      </w:r>
    </w:p>
    <w:p>
      <w:pPr>
        <w:pStyle w:val="Ttulo2"/>
      </w:pPr>
      <w:r>
        <w:t>Fuentes y trazabilidad</w:t>
      </w:r>
    </w:p>
    <w:p>
      <w:pPr>
        <w:widowControl/>
      </w:pPr>
      <w:hyperlink r:id="rId13">
        <w:r>
          <w:rPr>
            <w:color w:val="1565C0"/>
          </w:rPr>
          <w:t>Matriz vigente de 268 requisitos · hoja Matriz V2.0</w:t>
        </w:r>
      </w:hyperlink>
    </w:p>
    <w:p>
      <w:pPr>
        <w:widowControl/>
      </w:pPr>
      <w:hyperlink r:id="rId14">
        <w:r>
          <w:rPr>
            <w:color w:val="1565C0"/>
          </w:rPr>
          <w:t>Catálogo vigente de casos de uso</w:t>
        </w:r>
      </w:hyperlink>
    </w:p>
    <w:p>
      <w:pPr>
        <w:widowControl/>
      </w:pPr>
      <w:hyperlink r:id="rId15">
        <w:r>
          <w:rPr>
            <w:color w:val="1565C0"/>
          </w:rPr>
          <w:t>Definiciones de reportes y KPI</w:t>
        </w:r>
      </w:hyperlink>
    </w:p>
    <w:p>
      <w:pPr>
        <w:widowControl/>
      </w:pPr>
      <w:hyperlink r:id="rId16">
        <w:r>
          <w:rPr>
            <w:color w:val="1565C0"/>
          </w:rPr>
          <w:t>ERS del proyecto</w:t>
        </w:r>
      </w:hyperlink>
    </w:p>
    <w:p>
      <w:pPr>
        <w:widowControl/>
      </w:pPr>
      <w:hyperlink r:id="rId17">
        <w:r>
          <w:rPr>
            <w:color w:val="1565C0"/>
          </w:rPr>
          <w:t>Ejecutores y requisitos</w:t>
        </w:r>
      </w:hyperlink>
    </w:p>
    <w:sectPr w:rsidR="00A635C9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82701" w14:textId="77777777" w:rsidR="00322DFE" w:rsidRDefault="00322DFE">
      <w:pPr>
        <w:spacing w:after="0" w:line="240" w:lineRule="auto"/>
      </w:pPr>
      <w:r>
        <w:separator/>
      </w:r>
    </w:p>
  </w:endnote>
  <w:endnote w:type="continuationSeparator" w:id="0">
    <w:p w14:paraId="4BCE3E8E" w14:textId="77777777" w:rsidR="00322DFE" w:rsidRDefault="00322D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B7EE7" w14:textId="77777777" w:rsidR="00A635C9" w:rsidRDefault="00163BDE">
    <w:pPr>
      <w:pStyle w:val="Piedepgina"/>
      <w:jc w:val="right"/>
    </w:pPr>
    <w:r>
      <w:rPr>
        <w:rFonts w:eastAsia="Calibri"/>
        <w:color w:val="5F6B76"/>
        <w:sz w:val="17"/>
      </w:rPr>
      <w:t xml:space="preserve">Duoc UC · Ingeniería en Informática    |    Página </w:t>
    </w:r>
    <w:r>
      <w:rPr>
        <w:rFonts w:eastAsia="Calibri"/>
        <w:color w:val="5F6B76"/>
        <w:sz w:val="17"/>
      </w:rPr>
      <w:fldChar w:fldCharType="begin"/>
    </w:r>
    <w:r>
      <w:rPr>
        <w:rFonts w:eastAsia="Calibri"/>
        <w:color w:val="5F6B76"/>
        <w:sz w:val="17"/>
      </w:rPr>
      <w:instrText xml:space="preserve"> PAGE </w:instrText>
    </w:r>
    <w:r>
      <w:rPr>
        <w:rFonts w:eastAsia="Calibri"/>
        <w:color w:val="5F6B76"/>
        <w:sz w:val="17"/>
      </w:rPr>
      <w:fldChar w:fldCharType="separate"/>
    </w:r>
    <w:r w:rsidR="002C6F8B">
      <w:rPr>
        <w:rFonts w:eastAsia="Calibri"/>
        <w:noProof/>
        <w:color w:val="5F6B76"/>
        <w:sz w:val="17"/>
      </w:rPr>
      <w:t>1</w:t>
    </w:r>
    <w:r>
      <w:rPr>
        <w:rFonts w:eastAsia="Calibri"/>
        <w:color w:val="5F6B7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751B3" w14:textId="77777777" w:rsidR="00322DFE" w:rsidRDefault="00322DFE">
      <w:pPr>
        <w:spacing w:after="0" w:line="240" w:lineRule="auto"/>
      </w:pPr>
      <w:r>
        <w:separator/>
      </w:r>
    </w:p>
  </w:footnote>
  <w:footnote w:type="continuationSeparator" w:id="0">
    <w:p w14:paraId="4C4AAEF1" w14:textId="77777777" w:rsidR="00322DFE" w:rsidRDefault="00322D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8557D" w14:textId="77777777" w:rsidR="00A635C9" w:rsidRDefault="00163BDE">
    <w:pPr>
      <w:pStyle w:val="Encabezado"/>
    </w:pPr>
    <w:r>
      <w:rPr>
        <w:rFonts w:eastAsia="Calibri"/>
        <w:b/>
        <w:color w:val="5F6B76"/>
        <w:sz w:val="17"/>
      </w:rPr>
      <w:t>PMP SUITE  |  CAPSTONE</w:t>
    </w:r>
    <w:r>
      <w:rPr>
        <w:rFonts w:eastAsia="Calibri"/>
        <w:color w:val="5F6B76"/>
        <w:sz w:val="17"/>
      </w:rPr>
      <w:t xml:space="preserve">     SRS Simplificado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2065671">
    <w:abstractNumId w:val="8"/>
  </w:num>
  <w:num w:numId="2" w16cid:durableId="2038580763">
    <w:abstractNumId w:val="6"/>
  </w:num>
  <w:num w:numId="3" w16cid:durableId="233467588">
    <w:abstractNumId w:val="5"/>
  </w:num>
  <w:num w:numId="4" w16cid:durableId="1621569901">
    <w:abstractNumId w:val="4"/>
  </w:num>
  <w:num w:numId="5" w16cid:durableId="2031643966">
    <w:abstractNumId w:val="7"/>
  </w:num>
  <w:num w:numId="6" w16cid:durableId="2069302273">
    <w:abstractNumId w:val="3"/>
  </w:num>
  <w:num w:numId="7" w16cid:durableId="125197360">
    <w:abstractNumId w:val="2"/>
  </w:num>
  <w:num w:numId="8" w16cid:durableId="1612202123">
    <w:abstractNumId w:val="1"/>
  </w:num>
  <w:num w:numId="9" w16cid:durableId="79051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3BDE"/>
    <w:rsid w:val="0029639D"/>
    <w:rsid w:val="002B4508"/>
    <w:rsid w:val="002C6F8B"/>
    <w:rsid w:val="00322DFE"/>
    <w:rsid w:val="00326F90"/>
    <w:rsid w:val="004D3F6A"/>
    <w:rsid w:val="007360F5"/>
    <w:rsid w:val="00795FA6"/>
    <w:rsid w:val="00A635C9"/>
    <w:rsid w:val="00AA1D8D"/>
    <w:rsid w:val="00B47730"/>
    <w:rsid w:val="00BC4B9F"/>
    <w:rsid w:val="00CB0664"/>
    <w:rsid w:val="00FC693F"/>
    <w:rsid w:val="00FE0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B1D6EC"/>
  <w14:defaultImageDpi w14:val="300"/>
  <w15:docId w15:val="{FFC3CEE0-F48D-4943-BEDA-7E1E0AEEA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0" w:lineRule="auto"/>
    </w:pPr>
    <w:rPr>
      <w:rFonts w:ascii="Calibri" w:hAnsi="Calibri"/>
      <w:color w:val="17212B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pageBreakBefore w:val="0"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0D1B2A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pageBreakBefore w:val="0"/>
      <w:spacing w:before="240"/>
      <w:outlineLvl w:val="1"/>
    </w:pPr>
    <w:rPr>
      <w:rFonts w:asciiTheme="majorHAnsi" w:eastAsiaTheme="majorEastAsia" w:hAnsiTheme="majorHAnsi" w:cstheme="majorBidi"/>
      <w:b/>
      <w:bCs/>
      <w:color w:val="1565C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07E7A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PMP">
    <w:name w:val="Code PMP"/>
    <w:basedOn w:val="Normal"/>
    <w:pPr>
      <w:spacing w:after="60"/>
    </w:pPr>
    <w:rPr>
      <w:rFonts w:ascii="Consolas" w:hAnsi="Consolas"/>
      <w:sz w:val="18"/>
    </w:rPr>
  </w:style>
  <w:style w:type="paragraph" w:styleId="TDC1">
    <w:name w:val="toc 1"/>
    <w:basedOn w:val="Normal"/>
    <w:next w:val="Normal"/>
    <w:autoRedefine/>
    <w:uiPriority w:val="39"/>
    <w:unhideWhenUsed/>
    <w:rsid w:val="002C6F8B"/>
    <w:pPr>
      <w:spacing w:after="0" w:line="252" w:lineRule="auto"/>
    </w:pPr>
    <w:rPr>
      <w:sz w:val="21"/>
    </w:rPr>
  </w:style>
  <w:style w:type="character" w:styleId="Hipervnculo">
    <w:name w:val="Hyperlink"/>
    <w:basedOn w:val="Fuentedeprrafopredeter"/>
    <w:uiPriority w:val="99"/>
    <w:unhideWhenUsed/>
    <w:rsid w:val="002C6F8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yperlink" Target="Matriz_Requerimientos_PMP_Suite.xlsx" TargetMode="External"/><Relationship Id="rId14" Type="http://schemas.openxmlformats.org/officeDocument/2006/relationships/hyperlink" Target="../../../06_CASOS_DE_USO_Y_ESCENARIOS_V2.0.md" TargetMode="External"/><Relationship Id="rId15" Type="http://schemas.openxmlformats.org/officeDocument/2006/relationships/hyperlink" Target="../../../07_REPORTES_KPI_V2.0.md" TargetMode="External"/><Relationship Id="rId16" Type="http://schemas.openxmlformats.org/officeDocument/2006/relationships/hyperlink" Target="../../../../01_Requerimientos/ERS_PMP_Suite_V2.0.md" TargetMode="External"/><Relationship Id="rId17" Type="http://schemas.openxmlformats.org/officeDocument/2006/relationships/hyperlink" Target="../../../../08_Pruebas/MATRIZ_TRAZABILIDAD_V2.0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3060</Words>
  <Characters>19985</Characters>
  <Application>Microsoft Office Word</Application>
  <DocSecurity>0</DocSecurity>
  <Lines>624</Lines>
  <Paragraphs>523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Requisitos de Software</dc:title>
  <dc:subject>PMP Suite V2.0 · Metodología en cascada</dc:subject>
  <dc:creator>Rafael Oteiza · Matías Garrido · Luis Arenas</dc:creator>
  <cp:keywords>PMP Suite, Capstone, Cascada, Duoc UC</cp:keywords>
  <dc:description/>
  <cp:lastModifiedBy>Rafael Oteiza</cp:lastModifiedBy>
  <cp:revision>4</cp:revision>
  <dcterms:created xsi:type="dcterms:W3CDTF">2013-12-23T23:15:00Z</dcterms:created>
  <dcterms:modified xsi:type="dcterms:W3CDTF">2026-10-13T18:26:00Z</dcterms:modified>
  <cp:category/>
  <cp:version>2.0</cp:version>
</cp:coreProperties>
</file>