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D238" w14:textId="77777777" w:rsidR="0003309E" w:rsidRDefault="0003309E" w:rsidP="0003309E"/>
    <w:p w14:paraId="02C76917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F40D27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3EA95966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01D77BCB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45F40D27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3EA95966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01D77BCB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37175A6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5F4842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07EAF5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71ABC3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7B412C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5D75227" w14:textId="147959D1" w:rsidR="00DD26C0" w:rsidRDefault="00DD26C0">
      <w:pPr>
        <w:spacing w:before="60" w:after="120" w:line="240" w:lineRule="auto"/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49D964C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607787B2" w14:textId="77777777" w:rsidR="0003309E" w:rsidRPr="00BF2EA6" w:rsidRDefault="0003309E" w:rsidP="00C5122E">
            <w:pPr>
              <w:keepNext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4FD18129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0C9BCB43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3354E819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B58D7A1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0E70B6B7" w14:textId="77777777" w:rsidTr="000A1331">
        <w:tc>
          <w:tcPr>
            <w:tcW w:w="2528" w:type="dxa"/>
            <w:vAlign w:val="center"/>
          </w:tcPr>
          <w:p w14:paraId="7A551F70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73FD717B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  <w:b/>
              </w:rPr>
              <w:t>Respuesta del proyecto</w:t>
            </w:r>
          </w:p>
          <w:p w14:paraId="5CF780FB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Al corte del 13-10-2026, PMP Suite cuenta con módulos integrados para activos, OS, Terreno, Bodega, Laboratorio, QA, repuestos, trazabilidad, administración y consultas de gestión. La arquitectura utiliza Web </w:t>
            </w:r>
            <w:proofErr w:type="spellStart"/>
            <w:r>
              <w:rPr>
                <w:rFonts w:ascii="Calibri" w:hAnsi="Calibri"/>
              </w:rPr>
              <w:t>React</w:t>
            </w:r>
            <w:proofErr w:type="spellEnd"/>
            <w:r>
              <w:rPr>
                <w:rFonts w:ascii="Calibri" w:hAnsi="Calibri"/>
              </w:rPr>
              <w:t>/</w:t>
            </w:r>
            <w:proofErr w:type="spellStart"/>
            <w:r>
              <w:rPr>
                <w:rFonts w:ascii="Calibri" w:hAnsi="Calibri"/>
              </w:rPr>
              <w:t>TypeScript</w:t>
            </w:r>
            <w:proofErr w:type="spellEnd"/>
            <w:r>
              <w:rPr>
                <w:rFonts w:ascii="Calibri" w:hAnsi="Calibri"/>
              </w:rPr>
              <w:t xml:space="preserve">, Mobile </w:t>
            </w:r>
            <w:proofErr w:type="spellStart"/>
            <w:r>
              <w:rPr>
                <w:rFonts w:ascii="Calibri" w:hAnsi="Calibri"/>
              </w:rPr>
              <w:t>React</w:t>
            </w:r>
            <w:proofErr w:type="spellEnd"/>
            <w:r>
              <w:rPr>
                <w:rFonts w:ascii="Calibri" w:hAnsi="Calibri"/>
              </w:rPr>
              <w:t xml:space="preserve"> Native/Expo, API Node.js y PostgreSQL, con </w:t>
            </w:r>
            <w:proofErr w:type="spellStart"/>
            <w:r>
              <w:rPr>
                <w:rFonts w:ascii="Calibri" w:hAnsi="Calibri"/>
              </w:rPr>
              <w:t>Firebase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Authentication</w:t>
            </w:r>
            <w:proofErr w:type="spellEnd"/>
            <w:r>
              <w:rPr>
                <w:rFonts w:ascii="Calibri" w:hAnsi="Calibri"/>
              </w:rPr>
              <w:t xml:space="preserve"> para identidad. Esta actualización complementa la definición de Fase 1 y conserva el alcance académico de una plataforma funcional y documentada [E1, E3, E4].</w:t>
            </w:r>
          </w:p>
          <w:p w14:paraId="1E1BFC6B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El avance incorpora separación de Gerente, Administrador y </w:t>
            </w:r>
            <w:proofErr w:type="gramStart"/>
            <w:r>
              <w:rPr>
                <w:rFonts w:ascii="Calibri" w:hAnsi="Calibri"/>
              </w:rPr>
              <w:t>Jefe</w:t>
            </w:r>
            <w:proofErr w:type="gramEnd"/>
            <w:r>
              <w:rPr>
                <w:rFonts w:ascii="Calibri" w:hAnsi="Calibri"/>
              </w:rPr>
              <w:t xml:space="preserve"> de Laboratorio; restricciones técnicas del historial de Terreno desde </w:t>
            </w:r>
            <w:proofErr w:type="spellStart"/>
            <w:r>
              <w:rPr>
                <w:rFonts w:ascii="Calibri" w:hAnsi="Calibri"/>
              </w:rPr>
              <w:t>backend</w:t>
            </w:r>
            <w:proofErr w:type="spellEnd"/>
            <w:r>
              <w:rPr>
                <w:rFonts w:ascii="Calibri" w:hAnsi="Calibri"/>
              </w:rPr>
              <w:t xml:space="preserve">; perfiles Mobile de solo lectura, apariencia persistente y cambio de contraseña de la propia cuenta; </w:t>
            </w:r>
            <w:proofErr w:type="spellStart"/>
            <w:r>
              <w:rPr>
                <w:rFonts w:ascii="Calibri" w:hAnsi="Calibri"/>
              </w:rPr>
              <w:t>dashboards</w:t>
            </w:r>
            <w:proofErr w:type="spellEnd"/>
            <w:r>
              <w:rPr>
                <w:rFonts w:ascii="Calibri" w:hAnsi="Calibri"/>
              </w:rPr>
              <w:t xml:space="preserve"> por rol y Centro de reportes Excel. La revisión global de UI unificó encabezados, tablas, filtros, estados vacíos y avisos de solo lectura sin cambiar reglas de negocio [E8, E9].</w:t>
            </w:r>
          </w:p>
          <w:p w14:paraId="32AF698B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Se completaron evidencias de un ciclo simulado de veinte activos y se documentó la corrección de identidad de las diez consolas sin recrear su historial [E6, E7]. Los objetivos de análisis, diseño e integración presentan artefactos verificables; validación y cierre continúan abiertos por las limitaciones consignadas. No se asigna un porcentaje global de cumplimiento sin una medición por requisito.</w:t>
            </w:r>
          </w:p>
        </w:tc>
      </w:tr>
      <w:tr w:rsidR="0003309E" w14:paraId="34829E8C" w14:textId="77777777" w:rsidTr="000A1331">
        <w:tc>
          <w:tcPr>
            <w:tcW w:w="2528" w:type="dxa"/>
            <w:vAlign w:val="center"/>
          </w:tcPr>
          <w:p w14:paraId="151E4D5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113712F5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Objetivo general. Desarrollar e integrar PMP Suite como una plataforma funcional que centralice y haga trazable el ciclo de mantenimiento de validadores y consolas del transporte público, apoyando la gestión operacional y la toma de decisiones.</w:t>
            </w:r>
          </w:p>
          <w:p w14:paraId="08DEED5D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lastRenderedPageBreak/>
              <w:t>1. Analizar y documentar problemática, actores, requerimientos y reglas de negocio de los procesos priorizados. La ERS y la matriz de trazabilidad constituyen la línea base para verificar este objetivo.</w:t>
            </w:r>
          </w:p>
          <w:p w14:paraId="6B44D0A4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2. Diseñar una arquitectura y un modelo relacional que aseguren integridad, seguridad y trazabilidad, separando identidad autenticada, autorización y operaciones de negocio.</w:t>
            </w:r>
          </w:p>
          <w:p w14:paraId="4A0504D6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3. Desarrollar e integrar usuarios, equipos, órdenes de servicio, eventos, diagnóstico, logística, repuestos y QA, con interfaces Web y Mobile coherentes y restricciones por rol.</w:t>
            </w:r>
          </w:p>
          <w:p w14:paraId="3D9756E4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4. Validar funciones, permisos, transiciones e integración mediante pruebas y evidencias reproducibles, distinguiendo simulación, pruebas automatizadas y comprobaciones físicas.</w:t>
            </w:r>
          </w:p>
          <w:p w14:paraId="71ED37CD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5. Documentar resultados, limitaciones, decisiones y recomendaciones de continuidad. Se conserva el propósito de Fase 1; la precisión añadida es verificable y no incorpora una puesta en producción definitiva al alcance académico.</w:t>
            </w:r>
          </w:p>
        </w:tc>
      </w:tr>
      <w:tr w:rsidR="0003309E" w14:paraId="4C0E9833" w14:textId="77777777" w:rsidTr="000A1331">
        <w:tc>
          <w:tcPr>
            <w:tcW w:w="2528" w:type="dxa"/>
            <w:vAlign w:val="center"/>
          </w:tcPr>
          <w:p w14:paraId="12092A11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4F92AC15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Decisión de Fase 2. Se confirma la metodología en cascada para conducir y cerrar el proyecto. Esta decisión actualiza expresamente la propuesta iterativa e incremental de Fase 1, que se conserva como antecedente histórico. No se presenta el trabajo previo como si siempre hubiese seguido cascada.</w:t>
            </w:r>
          </w:p>
          <w:p w14:paraId="48E07C11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Secuencia de trabajo: requisitos y alcance → diseño → construcción e integración → verificación y correcciones → entrega académica y mantenimiento documentado. Cada fase produce una línea base revisable y habilita el paso a la siguiente mediante criterios de salida.</w:t>
            </w:r>
          </w:p>
          <w:p w14:paraId="67047B3B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Requisitos. Consolidar actores, reglas, casos, criterios de aceptación y restricciones en la ERS y matriz. Salida: alcance identificable, requisitos verificables y decisiones pendientes registradas. Diseño. Revisar arquitectura, contratos API, RBAC, estados, modelo de datos e interfaces contra esa línea base. Salida: diseño coherente y trazable a los requisitos.</w:t>
            </w:r>
          </w:p>
          <w:p w14:paraId="31F86538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Construcción. Implementar sobre el diseño controlado e integrar API, persistencia, Web, Mobile y análisis. Salida: componentes integrados, controles de autorización y resultados reproducibles. Verificación. Contrastar resultados esperados con pruebas por rol y flujo; registrar fallos, corregir y repetir las pruebas afectadas. Salida: incidencias críticas resueltas y limitaciones aceptadas explícitamente.</w:t>
            </w:r>
          </w:p>
          <w:p w14:paraId="214FE691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Entrega. Consolidar manuales, evidencias, instrucciones de despliegue, limitaciones y aceptación académica. La aprobación docente y la aceptación física no se presumen: requieren revisión y registro. El mantenimiento contempla atención de defectos y cambios posteriores sobre versiones controladas.</w:t>
            </w:r>
          </w:p>
          <w:p w14:paraId="114D1E9F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Control de cambios. Registrar solicitud, motivo e impacto en requisitos, diseño, datos, seguridad, pruebas y plazo; decidir con el responsable del proyecto; actualizar la línea base; implementar y verificar. Un defecto puede devolver el trabajo a su fase de origen de forma controlada. Las correcciones </w:t>
            </w:r>
            <w:r>
              <w:rPr>
                <w:rFonts w:ascii="Calibri" w:hAnsi="Calibri"/>
              </w:rPr>
              <w:lastRenderedPageBreak/>
              <w:t>no convierten el método declarado en Scrum ni justifican omitir las revisiones.</w:t>
            </w:r>
          </w:p>
          <w:p w14:paraId="569C7A59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Pertinencia. Los procesos de custodia, OS, stock y QA requieren reglas explícitas y trazabilidad entre requisitos, diseño y evidencia. Cascada facilita documentar estas dependencias y la entrega académica. Su riesgo es descubrir tarde discrepancias: se mitiga con revisión de artefactos y criterios de aceptación antes de autorizar cada paso.</w:t>
            </w:r>
          </w:p>
        </w:tc>
      </w:tr>
      <w:tr w:rsidR="0003309E" w14:paraId="7A55B7F4" w14:textId="77777777" w:rsidTr="000A1331">
        <w:tc>
          <w:tcPr>
            <w:tcW w:w="2528" w:type="dxa"/>
            <w:vAlign w:val="center"/>
          </w:tcPr>
          <w:p w14:paraId="66F1BDA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6DB22BF3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Se presentan como evidencias la ERS y matriz de trazabilidad [E3]; arquitectura, catálogo API, modelo de datos y estados [E4]; código integrado [E9]; resultados de pruebas [E5]; ciclo simulado y corrección de identidades [E6, E7]; y auditoría visual por rol [E8]. Cada evidencia permite contrastar un objetivo con un artefacto concreto, en lugar de depender únicamente de capturas.</w:t>
            </w:r>
          </w:p>
          <w:p w14:paraId="674D0668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Evidencia histórica del 09-10-2026: </w:t>
            </w:r>
            <w:proofErr w:type="spellStart"/>
            <w:r>
              <w:rPr>
                <w:rFonts w:ascii="Calibri" w:hAnsi="Calibri"/>
              </w:rPr>
              <w:t>backend</w:t>
            </w:r>
            <w:proofErr w:type="spellEnd"/>
            <w:r>
              <w:rPr>
                <w:rFonts w:ascii="Calibri" w:hAnsi="Calibri"/>
              </w:rPr>
              <w:t xml:space="preserve"> 118/118 pruebas aprobadas; Mobile 210/210 con </w:t>
            </w:r>
            <w:proofErr w:type="spellStart"/>
            <w:r>
              <w:rPr>
                <w:rFonts w:ascii="Calibri" w:hAnsi="Calibri"/>
              </w:rPr>
              <w:t>mocks</w:t>
            </w:r>
            <w:proofErr w:type="spellEnd"/>
            <w:r>
              <w:rPr>
                <w:rFonts w:ascii="Calibri" w:hAnsi="Calibri"/>
              </w:rPr>
              <w:t xml:space="preserve">; RBAC HTTP aislado, 99 solicitudes verificadas. El informe de esa fecha registra </w:t>
            </w:r>
            <w:proofErr w:type="spellStart"/>
            <w:r>
              <w:rPr>
                <w:rFonts w:ascii="Calibri" w:hAnsi="Calibri"/>
              </w:rPr>
              <w:t>TypeScript</w:t>
            </w:r>
            <w:proofErr w:type="spellEnd"/>
            <w:r>
              <w:rPr>
                <w:rFonts w:ascii="Calibri" w:hAnsi="Calibri"/>
              </w:rPr>
              <w:t xml:space="preserve"> y </w:t>
            </w:r>
            <w:proofErr w:type="spellStart"/>
            <w:r>
              <w:rPr>
                <w:rFonts w:ascii="Calibri" w:hAnsi="Calibri"/>
              </w:rPr>
              <w:t>build</w:t>
            </w:r>
            <w:proofErr w:type="spellEnd"/>
            <w:r>
              <w:rPr>
                <w:rFonts w:ascii="Calibri" w:hAnsi="Calibri"/>
              </w:rPr>
              <w:t xml:space="preserve"> Web aprobados y 176/177 pruebas Web, con un fallo de </w:t>
            </w:r>
            <w:proofErr w:type="spellStart"/>
            <w:r>
              <w:rPr>
                <w:rFonts w:ascii="Calibri" w:hAnsi="Calibri"/>
              </w:rPr>
              <w:t>mock</w:t>
            </w:r>
            <w:proofErr w:type="spellEnd"/>
            <w:r>
              <w:rPr>
                <w:rFonts w:ascii="Calibri" w:hAnsi="Calibri"/>
              </w:rPr>
              <w:t>. Estos resultados no fueron ejecutados nuevamente al redactar Fase 2.</w:t>
            </w:r>
          </w:p>
          <w:p w14:paraId="10FBAAD0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Actualización Web del 12-10-2026: 37 páginas, 36 patrones de rutas protegidas y tres públicas revisados; matriz de 252 combinaciones rol-ruta. Se registraron 3.440 comprobaciones de renderizado y navegación sin fallos en </w:t>
            </w:r>
            <w:proofErr w:type="spellStart"/>
            <w:r>
              <w:rPr>
                <w:rFonts w:ascii="Calibri" w:hAnsi="Calibri"/>
              </w:rPr>
              <w:t>Chromium</w:t>
            </w:r>
            <w:proofErr w:type="spellEnd"/>
            <w:r>
              <w:rPr>
                <w:rFonts w:ascii="Calibri" w:hAnsi="Calibri"/>
              </w:rPr>
              <w:t xml:space="preserve"> con fixtures aislados, en ambos temas y anchos de 320 a 1.920 </w:t>
            </w:r>
            <w:proofErr w:type="spellStart"/>
            <w:r>
              <w:rPr>
                <w:rFonts w:ascii="Calibri" w:hAnsi="Calibri"/>
              </w:rPr>
              <w:t>px</w:t>
            </w:r>
            <w:proofErr w:type="spellEnd"/>
            <w:r>
              <w:rPr>
                <w:rFonts w:ascii="Calibri" w:hAnsi="Calibri"/>
              </w:rPr>
              <w:t>. Incluye estados con datos, vacíos, carga, error, acceso denegado y navegación por teclado.</w:t>
            </w:r>
          </w:p>
          <w:p w14:paraId="21D497AD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Regresión Web más reciente documentada: 203/204 pruebas aprobadas. Persiste un fallo anterior en </w:t>
            </w:r>
            <w:proofErr w:type="spellStart"/>
            <w:r>
              <w:rPr>
                <w:rFonts w:ascii="Calibri" w:hAnsi="Calibri"/>
              </w:rPr>
              <w:t>requirements.frontend.test.mjs</w:t>
            </w:r>
            <w:proofErr w:type="spellEnd"/>
            <w:r>
              <w:rPr>
                <w:rFonts w:ascii="Calibri" w:hAnsi="Calibri"/>
              </w:rPr>
              <w:t xml:space="preserve"> por un </w:t>
            </w:r>
            <w:proofErr w:type="spellStart"/>
            <w:r>
              <w:rPr>
                <w:rFonts w:ascii="Calibri" w:hAnsi="Calibri"/>
              </w:rPr>
              <w:t>mock</w:t>
            </w:r>
            <w:proofErr w:type="spellEnd"/>
            <w:r>
              <w:rPr>
                <w:rFonts w:ascii="Calibri" w:hAnsi="Calibri"/>
              </w:rPr>
              <w:t xml:space="preserve"> Mobile que no exporta </w:t>
            </w:r>
            <w:proofErr w:type="spellStart"/>
            <w:r>
              <w:rPr>
                <w:rFonts w:ascii="Calibri" w:hAnsi="Calibri"/>
              </w:rPr>
              <w:t>useAuth</w:t>
            </w:r>
            <w:proofErr w:type="spellEnd"/>
            <w:r>
              <w:rPr>
                <w:rFonts w:ascii="Calibri" w:hAnsi="Calibri"/>
              </w:rPr>
              <w:t xml:space="preserve">. </w:t>
            </w:r>
            <w:proofErr w:type="spellStart"/>
            <w:r>
              <w:rPr>
                <w:rFonts w:ascii="Calibri" w:hAnsi="Calibri"/>
              </w:rPr>
              <w:t>TypeScript</w:t>
            </w:r>
            <w:proofErr w:type="spellEnd"/>
            <w:r>
              <w:rPr>
                <w:rFonts w:ascii="Calibri" w:hAnsi="Calibri"/>
              </w:rPr>
              <w:t xml:space="preserve"> y </w:t>
            </w:r>
            <w:proofErr w:type="spellStart"/>
            <w:r>
              <w:rPr>
                <w:rFonts w:ascii="Calibri" w:hAnsi="Calibri"/>
              </w:rPr>
              <w:t>build</w:t>
            </w:r>
            <w:proofErr w:type="spellEnd"/>
            <w:r>
              <w:rPr>
                <w:rFonts w:ascii="Calibri" w:hAnsi="Calibri"/>
              </w:rPr>
              <w:t xml:space="preserve"> de producción aprobados. No hay script </w:t>
            </w:r>
            <w:proofErr w:type="spellStart"/>
            <w:r>
              <w:rPr>
                <w:rFonts w:ascii="Calibri" w:hAnsi="Calibri"/>
              </w:rPr>
              <w:t>lint</w:t>
            </w:r>
            <w:proofErr w:type="spellEnd"/>
            <w:r>
              <w:rPr>
                <w:rFonts w:ascii="Calibri" w:hAnsi="Calibri"/>
              </w:rPr>
              <w:t xml:space="preserve"> configurado; por tanto, </w:t>
            </w:r>
            <w:proofErr w:type="spellStart"/>
            <w:r>
              <w:rPr>
                <w:rFonts w:ascii="Calibri" w:hAnsi="Calibri"/>
              </w:rPr>
              <w:t>lint</w:t>
            </w:r>
            <w:proofErr w:type="spellEnd"/>
            <w:r>
              <w:rPr>
                <w:rFonts w:ascii="Calibri" w:hAnsi="Calibri"/>
              </w:rPr>
              <w:t xml:space="preserve"> no puede declararse aprobado. Las comprobaciones visuales no equivalen a 3.440 pruebas físicas ni a sesiones reales de cada usuario.</w:t>
            </w:r>
          </w:p>
          <w:p w14:paraId="73CB7E78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Ciclo funcional simulado del 12-10-2026: 20/20 activos completaron el circuito; diez validadores y diez consolas, con 60/60 OS cerradas, 930 eventos marcados como sintéticos y 1.126 pasos combinados documentados. Incluye falta de repuestos, PoD, NFF y rechazo QA con nuevo ciclo. Los datos del lote fueron persistidos con autorización previa; la presente elaboración documental no añade ni modifica registros.</w:t>
            </w:r>
          </w:p>
          <w:p w14:paraId="60BFAB64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Corrección de identidad del lote: consolas Waysion N9715 con series 9715B669769901–9715B669769910; se conservaron los mismos 20 activos, 60 OS, relaciones y fechas. La verificación histórica informa 2.166 filas comparadas en 26 tablas y ausencia de referencias antiguas en el alcance revisado. No se repitieron movimientos para corregir la identidad.</w:t>
            </w:r>
          </w:p>
          <w:p w14:paraId="1DD99D8C" w14:textId="451561CE" w:rsidR="00630E5D" w:rsidRDefault="00000000" w:rsidP="00630E5D">
            <w:pPr>
              <w:spacing w:before="60" w:after="120" w:line="240" w:lineRule="auto"/>
            </w:pPr>
            <w:r>
              <w:rPr>
                <w:rFonts w:ascii="Calibri" w:hAnsi="Calibri"/>
              </w:rPr>
              <w:t>Limitaciones de cierre. Permanecen la comprobación nativa de cámara/QR, PoD, teclado y continuidad de sesión en dispositivos iOS/Android reales</w:t>
            </w:r>
            <w:r w:rsidR="00630E5D">
              <w:rPr>
                <w:rFonts w:ascii="Calibri" w:hAnsi="Calibri"/>
              </w:rPr>
              <w:t>.</w:t>
            </w:r>
          </w:p>
          <w:p w14:paraId="256DA4BD" w14:textId="3400181E" w:rsidR="00DD26C0" w:rsidRDefault="00DD26C0">
            <w:pPr>
              <w:spacing w:before="60" w:after="120" w:line="240" w:lineRule="auto"/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66C09D7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457F0EEA" w14:textId="77777777" w:rsidR="00586C9C" w:rsidRPr="00BF2EA6" w:rsidRDefault="00586C9C" w:rsidP="000A1331">
            <w:pPr>
              <w:keepNext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5D2A0F21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69C246FC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3193602C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2C6576AC" w14:textId="77777777" w:rsidTr="00EA0C09">
        <w:trPr>
          <w:trHeight w:val="415"/>
          <w:tblHeader/>
        </w:trPr>
        <w:tc>
          <w:tcPr>
            <w:tcW w:w="9776" w:type="dxa"/>
            <w:gridSpan w:val="8"/>
            <w:vAlign w:val="center"/>
          </w:tcPr>
          <w:p w14:paraId="7DDD4322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1BA9100E" w14:textId="77777777" w:rsidTr="009552E5">
        <w:trPr>
          <w:trHeight w:val="711"/>
          <w:tblHeader/>
        </w:trPr>
        <w:tc>
          <w:tcPr>
            <w:tcW w:w="1328" w:type="dxa"/>
            <w:vAlign w:val="center"/>
          </w:tcPr>
          <w:p w14:paraId="4B86801F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01EE04B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2337F06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40F101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40E91D52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4A1699E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601ACE7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7F708B9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26B33039" w14:textId="77777777" w:rsidTr="00EA0C09">
        <w:tc>
          <w:tcPr>
            <w:tcW w:w="1328" w:type="dxa"/>
          </w:tcPr>
          <w:p w14:paraId="0E07DCAC" w14:textId="77777777" w:rsidR="00DD26C0" w:rsidRDefault="00000000">
            <w:r>
              <w:rPr>
                <w:rFonts w:ascii="Calibri" w:hAnsi="Calibri"/>
                <w:sz w:val="18"/>
              </w:rPr>
              <w:t>Gestión de requisitos</w:t>
            </w:r>
          </w:p>
        </w:tc>
        <w:tc>
          <w:tcPr>
            <w:tcW w:w="1077" w:type="dxa"/>
          </w:tcPr>
          <w:p w14:paraId="5EA95D7E" w14:textId="77777777" w:rsidR="00DD26C0" w:rsidRDefault="00000000">
            <w:r>
              <w:rPr>
                <w:rFonts w:ascii="Calibri" w:hAnsi="Calibri"/>
                <w:sz w:val="18"/>
              </w:rPr>
              <w:t>Revisar alcance y criterios</w:t>
            </w:r>
          </w:p>
        </w:tc>
        <w:tc>
          <w:tcPr>
            <w:tcW w:w="1276" w:type="dxa"/>
          </w:tcPr>
          <w:p w14:paraId="22748EA8" w14:textId="77777777" w:rsidR="00DD26C0" w:rsidRDefault="00000000">
            <w:r>
              <w:rPr>
                <w:rFonts w:ascii="Calibri" w:hAnsi="Calibri"/>
                <w:sz w:val="18"/>
              </w:rPr>
              <w:t>ERS y matriz</w:t>
            </w:r>
          </w:p>
        </w:tc>
        <w:tc>
          <w:tcPr>
            <w:tcW w:w="1276" w:type="dxa"/>
          </w:tcPr>
          <w:p w14:paraId="6C917B60" w14:textId="77777777" w:rsidR="00DD26C0" w:rsidRDefault="00000000">
            <w:r>
              <w:rPr>
                <w:rFonts w:ascii="Calibri" w:hAnsi="Calibri"/>
                <w:sz w:val="18"/>
              </w:rPr>
              <w:t>S1–S4</w:t>
            </w:r>
          </w:p>
        </w:tc>
        <w:tc>
          <w:tcPr>
            <w:tcW w:w="1275" w:type="dxa"/>
          </w:tcPr>
          <w:p w14:paraId="2437027F" w14:textId="77777777" w:rsidR="00DD26C0" w:rsidRDefault="00000000">
            <w:r>
              <w:rPr>
                <w:rFonts w:ascii="Calibri" w:hAnsi="Calibri"/>
                <w:sz w:val="18"/>
              </w:rPr>
              <w:t>Matías Garrido; valida Rafael</w:t>
            </w:r>
          </w:p>
        </w:tc>
        <w:tc>
          <w:tcPr>
            <w:tcW w:w="1276" w:type="dxa"/>
          </w:tcPr>
          <w:p w14:paraId="6D6775E9" w14:textId="77777777" w:rsidR="00DD26C0" w:rsidRDefault="00000000">
            <w:r>
              <w:rPr>
                <w:rFonts w:ascii="Calibri" w:hAnsi="Calibri"/>
                <w:sz w:val="18"/>
              </w:rPr>
              <w:t>Línea base previa</w:t>
            </w:r>
          </w:p>
        </w:tc>
        <w:tc>
          <w:tcPr>
            <w:tcW w:w="1418" w:type="dxa"/>
          </w:tcPr>
          <w:p w14:paraId="35235931" w14:textId="77777777" w:rsidR="00DD26C0" w:rsidRDefault="00000000">
            <w:r>
              <w:rPr>
                <w:rFonts w:ascii="Calibri" w:hAnsi="Calibri"/>
                <w:sz w:val="18"/>
              </w:rPr>
              <w:t>Ajustada</w:t>
            </w:r>
          </w:p>
        </w:tc>
        <w:tc>
          <w:tcPr>
            <w:tcW w:w="850" w:type="dxa"/>
          </w:tcPr>
          <w:p w14:paraId="282175DC" w14:textId="77777777" w:rsidR="00DD26C0" w:rsidRDefault="00000000">
            <w:r>
              <w:rPr>
                <w:rFonts w:ascii="Calibri" w:hAnsi="Calibri"/>
                <w:sz w:val="18"/>
              </w:rPr>
              <w:t>Confirmar cascada</w:t>
            </w:r>
          </w:p>
        </w:tc>
      </w:tr>
      <w:tr w:rsidR="00FD5149" w:rsidRPr="006E3B0D" w14:paraId="08EF9EEF" w14:textId="77777777" w:rsidTr="00EA0C09">
        <w:tc>
          <w:tcPr>
            <w:tcW w:w="1328" w:type="dxa"/>
          </w:tcPr>
          <w:p w14:paraId="434DB022" w14:textId="77777777" w:rsidR="00DD26C0" w:rsidRDefault="00000000">
            <w:r>
              <w:rPr>
                <w:rFonts w:ascii="Calibri" w:hAnsi="Calibri"/>
                <w:sz w:val="18"/>
              </w:rPr>
              <w:t>Arquitectura y datos</w:t>
            </w:r>
          </w:p>
        </w:tc>
        <w:tc>
          <w:tcPr>
            <w:tcW w:w="1077" w:type="dxa"/>
          </w:tcPr>
          <w:p w14:paraId="166ACF63" w14:textId="77777777" w:rsidR="00DD26C0" w:rsidRDefault="00000000">
            <w:r>
              <w:rPr>
                <w:rFonts w:ascii="Calibri" w:hAnsi="Calibri"/>
                <w:sz w:val="18"/>
              </w:rPr>
              <w:t>Revisar diseño y RBAC</w:t>
            </w:r>
          </w:p>
        </w:tc>
        <w:tc>
          <w:tcPr>
            <w:tcW w:w="1276" w:type="dxa"/>
          </w:tcPr>
          <w:p w14:paraId="1AA2C3F0" w14:textId="77777777" w:rsidR="00DD26C0" w:rsidRDefault="00000000">
            <w:r>
              <w:rPr>
                <w:rFonts w:ascii="Calibri" w:hAnsi="Calibri"/>
                <w:sz w:val="18"/>
              </w:rPr>
              <w:t>API, ERD y estados</w:t>
            </w:r>
          </w:p>
        </w:tc>
        <w:tc>
          <w:tcPr>
            <w:tcW w:w="1276" w:type="dxa"/>
          </w:tcPr>
          <w:p w14:paraId="71437FCA" w14:textId="77777777" w:rsidR="00DD26C0" w:rsidRDefault="00000000">
            <w:r>
              <w:rPr>
                <w:rFonts w:ascii="Calibri" w:hAnsi="Calibri"/>
                <w:sz w:val="18"/>
              </w:rPr>
              <w:t>S5–S6</w:t>
            </w:r>
          </w:p>
        </w:tc>
        <w:tc>
          <w:tcPr>
            <w:tcW w:w="1275" w:type="dxa"/>
          </w:tcPr>
          <w:p w14:paraId="458A4BAA" w14:textId="77777777" w:rsidR="00DD26C0" w:rsidRDefault="00000000">
            <w:r>
              <w:rPr>
                <w:rFonts w:ascii="Calibri" w:hAnsi="Calibri"/>
                <w:sz w:val="18"/>
              </w:rPr>
              <w:t>Rafael Oteiza</w:t>
            </w:r>
          </w:p>
        </w:tc>
        <w:tc>
          <w:tcPr>
            <w:tcW w:w="1276" w:type="dxa"/>
          </w:tcPr>
          <w:p w14:paraId="65858628" w14:textId="77777777" w:rsidR="00DD26C0" w:rsidRDefault="00000000">
            <w:r>
              <w:rPr>
                <w:rFonts w:ascii="Calibri" w:hAnsi="Calibri"/>
                <w:sz w:val="18"/>
              </w:rPr>
              <w:t>Siete roles</w:t>
            </w:r>
          </w:p>
        </w:tc>
        <w:tc>
          <w:tcPr>
            <w:tcW w:w="1418" w:type="dxa"/>
          </w:tcPr>
          <w:p w14:paraId="4E789EB9" w14:textId="77777777" w:rsidR="00DD26C0" w:rsidRDefault="00000000">
            <w:r>
              <w:rPr>
                <w:rFonts w:ascii="Calibri" w:hAnsi="Calibri"/>
                <w:sz w:val="18"/>
              </w:rPr>
              <w:t>Ajustada</w:t>
            </w:r>
          </w:p>
        </w:tc>
        <w:tc>
          <w:tcPr>
            <w:tcW w:w="850" w:type="dxa"/>
          </w:tcPr>
          <w:p w14:paraId="046DF228" w14:textId="77777777" w:rsidR="00DD26C0" w:rsidRDefault="00000000">
            <w:r>
              <w:rPr>
                <w:rFonts w:ascii="Calibri" w:hAnsi="Calibri"/>
                <w:sz w:val="18"/>
              </w:rPr>
              <w:t>Control de cambios</w:t>
            </w:r>
          </w:p>
        </w:tc>
      </w:tr>
      <w:tr w:rsidR="00FD5149" w:rsidRPr="006E3B0D" w14:paraId="36371B1A" w14:textId="77777777" w:rsidTr="00EA0C09">
        <w:tc>
          <w:tcPr>
            <w:tcW w:w="1328" w:type="dxa"/>
          </w:tcPr>
          <w:p w14:paraId="6BB0E55A" w14:textId="77777777" w:rsidR="00DD26C0" w:rsidRDefault="00000000">
            <w:r>
              <w:rPr>
                <w:rFonts w:ascii="Calibri" w:hAnsi="Calibri"/>
                <w:sz w:val="18"/>
              </w:rPr>
              <w:t>Construcción e integración</w:t>
            </w:r>
          </w:p>
        </w:tc>
        <w:tc>
          <w:tcPr>
            <w:tcW w:w="1077" w:type="dxa"/>
          </w:tcPr>
          <w:p w14:paraId="7C5BA62D" w14:textId="77777777" w:rsidR="00DD26C0" w:rsidRDefault="00000000">
            <w:r>
              <w:rPr>
                <w:rFonts w:ascii="Calibri" w:hAnsi="Calibri"/>
                <w:sz w:val="18"/>
              </w:rPr>
              <w:t>Integrar API, Web y Mobile</w:t>
            </w:r>
          </w:p>
        </w:tc>
        <w:tc>
          <w:tcPr>
            <w:tcW w:w="1276" w:type="dxa"/>
          </w:tcPr>
          <w:p w14:paraId="63030F8C" w14:textId="77777777" w:rsidR="00DD26C0" w:rsidRDefault="00000000">
            <w:proofErr w:type="spellStart"/>
            <w:r>
              <w:rPr>
                <w:rFonts w:ascii="Calibri" w:hAnsi="Calibri"/>
                <w:sz w:val="18"/>
              </w:rPr>
              <w:t>Node</w:t>
            </w:r>
            <w:proofErr w:type="spellEnd"/>
            <w:r>
              <w:rPr>
                <w:rFonts w:ascii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sz w:val="18"/>
              </w:rPr>
              <w:t>React</w:t>
            </w:r>
            <w:proofErr w:type="spellEnd"/>
            <w:r>
              <w:rPr>
                <w:rFonts w:ascii="Calibri" w:hAnsi="Calibri"/>
                <w:sz w:val="18"/>
              </w:rPr>
              <w:t>, Expo, PostgreSQL</w:t>
            </w:r>
          </w:p>
        </w:tc>
        <w:tc>
          <w:tcPr>
            <w:tcW w:w="1276" w:type="dxa"/>
          </w:tcPr>
          <w:p w14:paraId="077849CD" w14:textId="77777777" w:rsidR="00DD26C0" w:rsidRDefault="00000000">
            <w:r>
              <w:rPr>
                <w:rFonts w:ascii="Calibri" w:hAnsi="Calibri"/>
                <w:sz w:val="18"/>
              </w:rPr>
              <w:t>S7–S12</w:t>
            </w:r>
          </w:p>
        </w:tc>
        <w:tc>
          <w:tcPr>
            <w:tcW w:w="1275" w:type="dxa"/>
          </w:tcPr>
          <w:p w14:paraId="2CB3EC14" w14:textId="77777777" w:rsidR="00DD26C0" w:rsidRDefault="00000000">
            <w:r>
              <w:rPr>
                <w:rFonts w:ascii="Calibri" w:hAnsi="Calibri"/>
                <w:sz w:val="18"/>
              </w:rPr>
              <w:t>Rafael y Luis; apoyo Matías</w:t>
            </w:r>
          </w:p>
        </w:tc>
        <w:tc>
          <w:tcPr>
            <w:tcW w:w="1276" w:type="dxa"/>
          </w:tcPr>
          <w:p w14:paraId="0D74945C" w14:textId="77777777" w:rsidR="00DD26C0" w:rsidRDefault="00000000">
            <w:r>
              <w:rPr>
                <w:rFonts w:ascii="Calibri" w:hAnsi="Calibri"/>
                <w:sz w:val="18"/>
              </w:rPr>
              <w:t>Artefactos presentes</w:t>
            </w:r>
          </w:p>
        </w:tc>
        <w:tc>
          <w:tcPr>
            <w:tcW w:w="1418" w:type="dxa"/>
          </w:tcPr>
          <w:p w14:paraId="4C6C3FC6" w14:textId="77777777" w:rsidR="00DD26C0" w:rsidRDefault="00000000">
            <w:r>
              <w:rPr>
                <w:rFonts w:ascii="Calibri" w:hAnsi="Calibri"/>
                <w:sz w:val="18"/>
              </w:rPr>
              <w:t>Completado*</w:t>
            </w:r>
          </w:p>
        </w:tc>
        <w:tc>
          <w:tcPr>
            <w:tcW w:w="850" w:type="dxa"/>
          </w:tcPr>
          <w:p w14:paraId="6FD76B2A" w14:textId="77777777" w:rsidR="00DD26C0" w:rsidRDefault="00000000">
            <w:r>
              <w:rPr>
                <w:rFonts w:ascii="Calibri" w:hAnsi="Calibri"/>
                <w:sz w:val="18"/>
              </w:rPr>
              <w:t>Verificar defectos</w:t>
            </w:r>
          </w:p>
        </w:tc>
      </w:tr>
      <w:tr w:rsidR="00FD5149" w:rsidRPr="006E3B0D" w14:paraId="49B6AEBD" w14:textId="77777777" w:rsidTr="00EA0C09">
        <w:tc>
          <w:tcPr>
            <w:tcW w:w="1328" w:type="dxa"/>
          </w:tcPr>
          <w:p w14:paraId="7B177D33" w14:textId="77777777" w:rsidR="00DD26C0" w:rsidRDefault="00000000">
            <w:r>
              <w:rPr>
                <w:rFonts w:ascii="Calibri" w:hAnsi="Calibri"/>
                <w:sz w:val="18"/>
              </w:rPr>
              <w:t>Calidad y validación</w:t>
            </w:r>
          </w:p>
        </w:tc>
        <w:tc>
          <w:tcPr>
            <w:tcW w:w="1077" w:type="dxa"/>
          </w:tcPr>
          <w:p w14:paraId="4F2AF5AD" w14:textId="77777777" w:rsidR="00DD26C0" w:rsidRDefault="00000000">
            <w:r>
              <w:rPr>
                <w:rFonts w:ascii="Calibri" w:hAnsi="Calibri"/>
                <w:sz w:val="18"/>
              </w:rPr>
              <w:t>Pruebas por rol y flujo</w:t>
            </w:r>
          </w:p>
        </w:tc>
        <w:tc>
          <w:tcPr>
            <w:tcW w:w="1276" w:type="dxa"/>
          </w:tcPr>
          <w:p w14:paraId="3E1FDA45" w14:textId="77777777" w:rsidR="00DD26C0" w:rsidRDefault="00000000">
            <w:r>
              <w:rPr>
                <w:rFonts w:ascii="Calibri" w:hAnsi="Calibri"/>
                <w:sz w:val="18"/>
              </w:rPr>
              <w:t>Suites y evidencias</w:t>
            </w:r>
          </w:p>
        </w:tc>
        <w:tc>
          <w:tcPr>
            <w:tcW w:w="1276" w:type="dxa"/>
          </w:tcPr>
          <w:p w14:paraId="67055C89" w14:textId="77777777" w:rsidR="00DD26C0" w:rsidRDefault="00000000">
            <w:r>
              <w:rPr>
                <w:rFonts w:ascii="Calibri" w:hAnsi="Calibri"/>
                <w:sz w:val="18"/>
              </w:rPr>
              <w:t>S13–S15</w:t>
            </w:r>
          </w:p>
        </w:tc>
        <w:tc>
          <w:tcPr>
            <w:tcW w:w="1275" w:type="dxa"/>
          </w:tcPr>
          <w:p w14:paraId="53BBDAF2" w14:textId="77777777" w:rsidR="00DD26C0" w:rsidRDefault="00000000">
            <w:r>
              <w:rPr>
                <w:rFonts w:ascii="Calibri" w:hAnsi="Calibri"/>
                <w:sz w:val="18"/>
              </w:rPr>
              <w:t>Los tres integrantes</w:t>
            </w:r>
          </w:p>
        </w:tc>
        <w:tc>
          <w:tcPr>
            <w:tcW w:w="1276" w:type="dxa"/>
          </w:tcPr>
          <w:p w14:paraId="68CB5452" w14:textId="77777777" w:rsidR="00DD26C0" w:rsidRDefault="00000000">
            <w:r>
              <w:rPr>
                <w:rFonts w:ascii="Calibri" w:hAnsi="Calibri"/>
                <w:sz w:val="18"/>
              </w:rPr>
              <w:t xml:space="preserve">Mock y </w:t>
            </w:r>
            <w:proofErr w:type="gramStart"/>
            <w:r>
              <w:rPr>
                <w:rFonts w:ascii="Calibri" w:hAnsi="Calibri"/>
                <w:sz w:val="18"/>
              </w:rPr>
              <w:t>campo pendientes</w:t>
            </w:r>
            <w:proofErr w:type="gramEnd"/>
          </w:p>
        </w:tc>
        <w:tc>
          <w:tcPr>
            <w:tcW w:w="1418" w:type="dxa"/>
          </w:tcPr>
          <w:p w14:paraId="5B6EC8E5" w14:textId="77777777" w:rsidR="00DD26C0" w:rsidRDefault="00000000">
            <w:r>
              <w:rPr>
                <w:rFonts w:ascii="Calibri" w:hAnsi="Calibri"/>
                <w:sz w:val="18"/>
              </w:rPr>
              <w:t>En curso</w:t>
            </w:r>
          </w:p>
        </w:tc>
        <w:tc>
          <w:tcPr>
            <w:tcW w:w="850" w:type="dxa"/>
          </w:tcPr>
          <w:p w14:paraId="441DE3BD" w14:textId="77777777" w:rsidR="00DD26C0" w:rsidRDefault="00000000">
            <w:r>
              <w:rPr>
                <w:rFonts w:ascii="Calibri" w:hAnsi="Calibri"/>
                <w:sz w:val="18"/>
              </w:rPr>
              <w:t>Separar pruebas físicas</w:t>
            </w:r>
          </w:p>
        </w:tc>
      </w:tr>
      <w:tr w:rsidR="00FD5149" w:rsidRPr="006E3B0D" w14:paraId="135C279A" w14:textId="77777777" w:rsidTr="00EA0C09">
        <w:tc>
          <w:tcPr>
            <w:tcW w:w="1328" w:type="dxa"/>
          </w:tcPr>
          <w:p w14:paraId="005A63C7" w14:textId="77777777" w:rsidR="00DD26C0" w:rsidRDefault="00000000">
            <w:r>
              <w:rPr>
                <w:rFonts w:ascii="Calibri" w:hAnsi="Calibri"/>
                <w:sz w:val="18"/>
              </w:rPr>
              <w:t>Documentación técnica</w:t>
            </w:r>
          </w:p>
        </w:tc>
        <w:tc>
          <w:tcPr>
            <w:tcW w:w="1077" w:type="dxa"/>
          </w:tcPr>
          <w:p w14:paraId="26B277FA" w14:textId="77777777" w:rsidR="00DD26C0" w:rsidRDefault="00000000">
            <w:r>
              <w:rPr>
                <w:rFonts w:ascii="Calibri" w:hAnsi="Calibri"/>
                <w:sz w:val="18"/>
              </w:rPr>
              <w:t>Trazar resultados y límites</w:t>
            </w:r>
          </w:p>
        </w:tc>
        <w:tc>
          <w:tcPr>
            <w:tcW w:w="1276" w:type="dxa"/>
          </w:tcPr>
          <w:p w14:paraId="27B16B85" w14:textId="77777777" w:rsidR="00DD26C0" w:rsidRDefault="00000000">
            <w:r>
              <w:rPr>
                <w:rFonts w:ascii="Calibri" w:hAnsi="Calibri"/>
                <w:sz w:val="18"/>
              </w:rPr>
              <w:t>Guías y repositorio</w:t>
            </w:r>
          </w:p>
        </w:tc>
        <w:tc>
          <w:tcPr>
            <w:tcW w:w="1276" w:type="dxa"/>
          </w:tcPr>
          <w:p w14:paraId="5C7689EF" w14:textId="77777777" w:rsidR="00DD26C0" w:rsidRDefault="00000000">
            <w:r>
              <w:rPr>
                <w:rFonts w:ascii="Calibri" w:hAnsi="Calibri"/>
                <w:sz w:val="18"/>
              </w:rPr>
              <w:t>S1–S18</w:t>
            </w:r>
          </w:p>
        </w:tc>
        <w:tc>
          <w:tcPr>
            <w:tcW w:w="1275" w:type="dxa"/>
          </w:tcPr>
          <w:p w14:paraId="4A966DA4" w14:textId="77777777" w:rsidR="00DD26C0" w:rsidRDefault="00000000">
            <w:r>
              <w:rPr>
                <w:rFonts w:ascii="Calibri" w:hAnsi="Calibri"/>
                <w:sz w:val="18"/>
              </w:rPr>
              <w:t>Matías; revisión del equipo</w:t>
            </w:r>
          </w:p>
        </w:tc>
        <w:tc>
          <w:tcPr>
            <w:tcW w:w="1276" w:type="dxa"/>
          </w:tcPr>
          <w:p w14:paraId="07F901ED" w14:textId="77777777" w:rsidR="00DD26C0" w:rsidRDefault="00000000">
            <w:r>
              <w:rPr>
                <w:rFonts w:ascii="Calibri" w:hAnsi="Calibri"/>
                <w:sz w:val="18"/>
              </w:rPr>
              <w:t>Actividad transversal</w:t>
            </w:r>
          </w:p>
        </w:tc>
        <w:tc>
          <w:tcPr>
            <w:tcW w:w="1418" w:type="dxa"/>
          </w:tcPr>
          <w:p w14:paraId="76CB904D" w14:textId="77777777" w:rsidR="00DD26C0" w:rsidRDefault="00000000">
            <w:r>
              <w:rPr>
                <w:rFonts w:ascii="Calibri" w:hAnsi="Calibri"/>
                <w:sz w:val="18"/>
              </w:rPr>
              <w:t>En curso</w:t>
            </w:r>
          </w:p>
        </w:tc>
        <w:tc>
          <w:tcPr>
            <w:tcW w:w="850" w:type="dxa"/>
          </w:tcPr>
          <w:p w14:paraId="7A6BC471" w14:textId="77777777" w:rsidR="00DD26C0" w:rsidRDefault="00000000">
            <w:r>
              <w:rPr>
                <w:rFonts w:ascii="Calibri" w:hAnsi="Calibri"/>
                <w:sz w:val="18"/>
              </w:rPr>
              <w:t>Actualizar Fase 2</w:t>
            </w:r>
          </w:p>
        </w:tc>
      </w:tr>
      <w:tr w:rsidR="00FD5149" w:rsidRPr="006E3B0D" w14:paraId="0A000B87" w14:textId="77777777" w:rsidTr="00EA0C09">
        <w:tc>
          <w:tcPr>
            <w:tcW w:w="1328" w:type="dxa"/>
          </w:tcPr>
          <w:p w14:paraId="5167FEDC" w14:textId="77777777" w:rsidR="00DD26C0" w:rsidRDefault="00000000">
            <w:r>
              <w:rPr>
                <w:rFonts w:ascii="Calibri" w:hAnsi="Calibri"/>
                <w:sz w:val="18"/>
              </w:rPr>
              <w:t>Entrega académica</w:t>
            </w:r>
          </w:p>
        </w:tc>
        <w:tc>
          <w:tcPr>
            <w:tcW w:w="1077" w:type="dxa"/>
          </w:tcPr>
          <w:p w14:paraId="1DA91571" w14:textId="77777777" w:rsidR="00DD26C0" w:rsidRDefault="00000000">
            <w:r>
              <w:rPr>
                <w:rFonts w:ascii="Calibri" w:hAnsi="Calibri"/>
                <w:sz w:val="18"/>
              </w:rPr>
              <w:t>Revisión y aceptación</w:t>
            </w:r>
          </w:p>
        </w:tc>
        <w:tc>
          <w:tcPr>
            <w:tcW w:w="1276" w:type="dxa"/>
          </w:tcPr>
          <w:p w14:paraId="7AA84984" w14:textId="77777777" w:rsidR="00DD26C0" w:rsidRDefault="00000000">
            <w:r>
              <w:rPr>
                <w:rFonts w:ascii="Calibri" w:hAnsi="Calibri"/>
                <w:sz w:val="18"/>
              </w:rPr>
              <w:t>Informes y manuales</w:t>
            </w:r>
          </w:p>
        </w:tc>
        <w:tc>
          <w:tcPr>
            <w:tcW w:w="1276" w:type="dxa"/>
          </w:tcPr>
          <w:p w14:paraId="2519595F" w14:textId="77777777" w:rsidR="00DD26C0" w:rsidRDefault="00000000">
            <w:r>
              <w:rPr>
                <w:rFonts w:ascii="Calibri" w:hAnsi="Calibri"/>
                <w:sz w:val="18"/>
              </w:rPr>
              <w:t>S16–S18</w:t>
            </w:r>
          </w:p>
        </w:tc>
        <w:tc>
          <w:tcPr>
            <w:tcW w:w="1275" w:type="dxa"/>
          </w:tcPr>
          <w:p w14:paraId="58865446" w14:textId="77777777" w:rsidR="00DD26C0" w:rsidRDefault="00000000">
            <w:r>
              <w:rPr>
                <w:rFonts w:ascii="Calibri" w:hAnsi="Calibri"/>
                <w:sz w:val="18"/>
              </w:rPr>
              <w:t>Rafael coordina; Luis y Matías</w:t>
            </w:r>
          </w:p>
        </w:tc>
        <w:tc>
          <w:tcPr>
            <w:tcW w:w="1276" w:type="dxa"/>
          </w:tcPr>
          <w:p w14:paraId="345BD533" w14:textId="77777777" w:rsidR="00DD26C0" w:rsidRDefault="00000000">
            <w:r>
              <w:rPr>
                <w:rFonts w:ascii="Calibri" w:hAnsi="Calibri"/>
                <w:sz w:val="18"/>
              </w:rPr>
              <w:t>Sin acta final</w:t>
            </w:r>
          </w:p>
        </w:tc>
        <w:tc>
          <w:tcPr>
            <w:tcW w:w="1418" w:type="dxa"/>
          </w:tcPr>
          <w:p w14:paraId="420EE237" w14:textId="77777777" w:rsidR="00DD26C0" w:rsidRDefault="00000000">
            <w:r>
              <w:rPr>
                <w:rFonts w:ascii="Calibri" w:hAnsi="Calibri"/>
                <w:sz w:val="18"/>
              </w:rPr>
              <w:t>No iniciado*</w:t>
            </w:r>
          </w:p>
        </w:tc>
        <w:tc>
          <w:tcPr>
            <w:tcW w:w="850" w:type="dxa"/>
          </w:tcPr>
          <w:p w14:paraId="500925E8" w14:textId="77777777" w:rsidR="00DD26C0" w:rsidRDefault="00000000">
            <w:r>
              <w:rPr>
                <w:rFonts w:ascii="Calibri" w:hAnsi="Calibri"/>
                <w:sz w:val="18"/>
              </w:rPr>
              <w:t>Cierre condicionado</w:t>
            </w:r>
          </w:p>
        </w:tc>
      </w:tr>
    </w:tbl>
    <w:p w14:paraId="70F77476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6DADBE4B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03BB579" w14:textId="77777777" w:rsidR="0003309E" w:rsidRPr="00BF2EA6" w:rsidRDefault="0003309E" w:rsidP="00585A13">
            <w:pPr>
              <w:keepNext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2D54AB0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3D6A2D32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24314F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691BF7B6" w14:textId="77777777" w:rsidTr="00C5122E">
        <w:tc>
          <w:tcPr>
            <w:tcW w:w="5000" w:type="pct"/>
            <w:vAlign w:val="center"/>
          </w:tcPr>
          <w:p w14:paraId="5C0CE9FE" w14:textId="77777777" w:rsidR="00DD26C0" w:rsidRDefault="00000000">
            <w:pPr>
              <w:spacing w:before="60" w:after="120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Facilitadores. El conocimiento del mantenimiento de transporte, la ERS, la matriz y el repositorio permiten contrastar reglas y componentes. La división de responsabilidades definida en Fase 1 ofrece referentes para arquitectura, interfaz y documentación. Los tokens y componentes compartidos reducen diferencias visuales entre módulos.</w:t>
            </w:r>
          </w:p>
          <w:p w14:paraId="5F1A645C" w14:textId="77777777" w:rsidR="00630E5D" w:rsidRDefault="00630E5D">
            <w:pPr>
              <w:spacing w:before="60" w:after="120" w:line="240" w:lineRule="auto"/>
            </w:pPr>
          </w:p>
          <w:p w14:paraId="7679A66A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lastRenderedPageBreak/>
              <w:t>Dificultades. La separación tardía de responsabilidades entre roles exigió revisar autorización y navegación; los contratos diferentes de historial técnico y administrativo requirieron presentaciones específicas. La coexistencia de datos sintéticos y reales obliga a delimitar la interpretación de indicadores. La documentación anterior contiene resultados fechados que no deben confundirse con el estado actual.</w:t>
            </w:r>
          </w:p>
          <w:p w14:paraId="33F214FD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Tratamiento. Se contrastan código y evidencia, se conserva una matriz rol-ruta-estado, se reporta la incidencia del </w:t>
            </w:r>
            <w:proofErr w:type="spellStart"/>
            <w:r>
              <w:rPr>
                <w:rFonts w:ascii="Calibri" w:hAnsi="Calibri"/>
              </w:rPr>
              <w:t>mock</w:t>
            </w:r>
            <w:proofErr w:type="spellEnd"/>
            <w:r>
              <w:rPr>
                <w:rFonts w:ascii="Calibri" w:hAnsi="Calibri"/>
              </w:rPr>
              <w:t xml:space="preserve"> y se diferencia implementación, simulación y campo. Los cambios de alcance se registran con impacto y verificación; las revisiones docentes aún no aportadas quedan pendientes.</w:t>
            </w:r>
          </w:p>
        </w:tc>
      </w:tr>
    </w:tbl>
    <w:p w14:paraId="70FAFE1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63B42DC3" w14:textId="77777777" w:rsidTr="00C5122E">
        <w:tc>
          <w:tcPr>
            <w:tcW w:w="5000" w:type="pct"/>
            <w:vAlign w:val="center"/>
          </w:tcPr>
          <w:p w14:paraId="04E3B95B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Cambio principal: metodología en cascada confirmada para Fase 2, con entregables, revisiones y control de cambios. Se mantiene el objetivo general y los cinco objetivos específicos de Fase 1; no se elimina una actividad esencial del ciclo de mantenimiento.</w:t>
            </w:r>
          </w:p>
          <w:p w14:paraId="2F4A9DD1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Ajustes técnicos documentados: siete roles diferenciados; historial técnico reducido para Terreno; ajustes de navegación y cuenta Mobile; consolidación visual Web; reportes centralizados; análisis de fallas y repuestos; normalización de series de prueba sin reconstrucción de historial. Cada ajuste responde a seguridad, legibilidad, trazabilidad o necesidades de decisión ya expresadas.</w:t>
            </w:r>
          </w:p>
          <w:p w14:paraId="5C9538E2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Precisión de alcance: los resultados sintéticos validan comportamiento del software, no presencia física. La analítica vigente es descriptiva/heurística y no un modelo entrenado. La implantación productiva certificada sigue fuera del alcance académico. No se inventa retroalimentación docente: se presentará la modificación metodológica para revisión.</w:t>
            </w:r>
          </w:p>
        </w:tc>
      </w:tr>
    </w:tbl>
    <w:p w14:paraId="124C6EC1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19419E95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9F54666" w14:textId="77777777" w:rsidTr="00C5122E">
        <w:tc>
          <w:tcPr>
            <w:tcW w:w="5000" w:type="pct"/>
            <w:vAlign w:val="center"/>
          </w:tcPr>
          <w:p w14:paraId="7C8DB7E1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La verificación nativa y aceptación física no están acreditadas por los registros revisados. Se deben programar con usuarios y equipos disponibles, ejecutar por rol y conservar evidencias reales de cámara, QR, PoD, instalación y retiro.</w:t>
            </w:r>
          </w:p>
          <w:p w14:paraId="63D42441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Quedan por cerrar la incidencia de </w:t>
            </w:r>
            <w:proofErr w:type="spellStart"/>
            <w:r>
              <w:rPr>
                <w:rFonts w:ascii="Calibri" w:hAnsi="Calibri"/>
              </w:rPr>
              <w:t>mock</w:t>
            </w:r>
            <w:proofErr w:type="spellEnd"/>
            <w:r>
              <w:rPr>
                <w:rFonts w:ascii="Calibri" w:hAnsi="Calibri"/>
              </w:rPr>
              <w:t xml:space="preserve"> Web, la definición de </w:t>
            </w:r>
            <w:proofErr w:type="spellStart"/>
            <w:r>
              <w:rPr>
                <w:rFonts w:ascii="Calibri" w:hAnsi="Calibri"/>
              </w:rPr>
              <w:t>lint</w:t>
            </w:r>
            <w:proofErr w:type="spellEnd"/>
            <w:r>
              <w:rPr>
                <w:rFonts w:ascii="Calibri" w:hAnsi="Calibri"/>
              </w:rPr>
              <w:t>, la validación final de seguridad/rendimiento y la revisión académica. No se conoce una fecha comprometida vencida que permita declarar retraso cuantificado: se registran como pendientes o en curso.</w:t>
            </w:r>
          </w:p>
          <w:p w14:paraId="5C7FB2A5" w14:textId="77777777" w:rsidR="00DD26C0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Estrategia: priorizar riesgos de identidad, permisos e integridad; asignar revisión técnica a Rafael, validación de interfaces a Luis y consolidación de evidencias a Matías según los roles de Fase 1; fijar fechas reales en reunión de seguimiento; volver a ejecutar solo las verificaciones afectadas y registrar su aceptación antes del cierre.</w:t>
            </w:r>
          </w:p>
        </w:tc>
      </w:tr>
    </w:tbl>
    <w:p w14:paraId="419A8475" w14:textId="77777777" w:rsidR="0003309E" w:rsidRPr="0003309E" w:rsidRDefault="0003309E">
      <w:pPr>
        <w:rPr>
          <w:lang w:val="es-ES"/>
        </w:rPr>
      </w:pPr>
    </w:p>
    <w:p w14:paraId="578130EA" w14:textId="0E7775FA" w:rsidR="00DD26C0" w:rsidRDefault="00DD26C0">
      <w:pPr>
        <w:spacing w:before="60" w:after="120" w:line="240" w:lineRule="auto"/>
      </w:pPr>
    </w:p>
    <w:sectPr w:rsidR="00DD26C0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272B9" w14:textId="77777777" w:rsidR="00D3303F" w:rsidRDefault="00D3303F" w:rsidP="0003309E">
      <w:pPr>
        <w:spacing w:after="0" w:line="240" w:lineRule="auto"/>
      </w:pPr>
      <w:r>
        <w:separator/>
      </w:r>
    </w:p>
  </w:endnote>
  <w:endnote w:type="continuationSeparator" w:id="0">
    <w:p w14:paraId="428B5DB9" w14:textId="77777777" w:rsidR="00D3303F" w:rsidRDefault="00D3303F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C90BB" w14:textId="77777777" w:rsidR="00D3303F" w:rsidRDefault="00D3303F" w:rsidP="0003309E">
      <w:pPr>
        <w:spacing w:after="0" w:line="240" w:lineRule="auto"/>
      </w:pPr>
      <w:r>
        <w:separator/>
      </w:r>
    </w:p>
  </w:footnote>
  <w:footnote w:type="continuationSeparator" w:id="0">
    <w:p w14:paraId="159729F4" w14:textId="77777777" w:rsidR="00D3303F" w:rsidRDefault="00D3303F" w:rsidP="0003309E">
      <w:pPr>
        <w:spacing w:after="0" w:line="240" w:lineRule="auto"/>
      </w:pPr>
      <w:r>
        <w:continuationSeparator/>
      </w:r>
    </w:p>
  </w:footnote>
  <w:footnote w:id="1">
    <w:p w14:paraId="64572AE1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718AA542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08A152BF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2FF00DE1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75135D3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EF2CB5C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9034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3B738E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30E5D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3303F"/>
    <w:rsid w:val="00D67975"/>
    <w:rsid w:val="00D714E2"/>
    <w:rsid w:val="00DD26C0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8B24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1840</Words>
  <Characters>10121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Rafael Oteiza</cp:lastModifiedBy>
  <cp:revision>5</cp:revision>
  <dcterms:created xsi:type="dcterms:W3CDTF">2022-08-24T18:14:00Z</dcterms:created>
  <dcterms:modified xsi:type="dcterms:W3CDTF">2026-10-13T17:44:00Z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