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4575" w14:textId="77777777" w:rsidR="0089403C" w:rsidRDefault="0089403C">
      <w:pPr>
        <w:spacing w:after="560"/>
      </w:pPr>
    </w:p>
    <w:p w14:paraId="3DD66063" w14:textId="77777777" w:rsidR="0089403C" w:rsidRDefault="005352CF">
      <w:pPr>
        <w:spacing w:after="600"/>
        <w:jc w:val="center"/>
      </w:pPr>
      <w:r>
        <w:rPr>
          <w:noProof/>
        </w:rPr>
        <w:drawing>
          <wp:inline distT="0" distB="0" distL="0" distR="0" wp14:anchorId="7F1B15D5" wp14:editId="4D2193D9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895C" w14:textId="77777777" w:rsidR="0089403C" w:rsidRDefault="005352CF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016E6EA2" w14:textId="77777777" w:rsidR="0089403C" w:rsidRDefault="005352CF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Manual Técnico y de Despliegue</w:t>
      </w:r>
    </w:p>
    <w:p w14:paraId="0496F906" w14:textId="77777777" w:rsidR="0089403C" w:rsidRDefault="005352CF">
      <w:pPr>
        <w:spacing w:after="680"/>
        <w:jc w:val="center"/>
      </w:pPr>
      <w:r>
        <w:t>Instalación, configuración, ejecución y verificación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9403C" w14:paraId="5E6AF2E7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0930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49A4" w14:textId="77777777" w:rsidR="0089403C" w:rsidRDefault="005352CF">
            <w:pPr>
              <w:spacing w:after="0"/>
            </w:pPr>
            <w:r>
              <w:rPr>
                <w:sz w:val="20"/>
              </w:rPr>
              <w:t>Manual Técnico y de Despliegue</w:t>
            </w:r>
          </w:p>
        </w:tc>
      </w:tr>
      <w:tr w:rsidR="0089403C" w14:paraId="2C25641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73AA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223E" w14:textId="77777777" w:rsidR="0089403C" w:rsidRDefault="005352CF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89403C" w14:paraId="7305791C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991B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80F2" w14:textId="77777777" w:rsidR="0089403C" w:rsidRDefault="005352CF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89403C" w14:paraId="3F93712C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2607" w14:textId="77777777" w:rsidR="0089403C" w:rsidRDefault="005352CF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166979E2" w14:textId="77777777" w:rsidR="0089403C" w:rsidRDefault="0089403C">
      <w:pPr>
        <w:spacing w:after="440"/>
      </w:pPr>
    </w:p>
    <w:p w14:paraId="67757EDC" w14:textId="77777777" w:rsidR="0089403C" w:rsidRDefault="005352CF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condiciones de uso</w:t>
      </w:r>
    </w:p>
    <w:p>
      <w:pPr>
        <w:widowControl/>
      </w:pPr>
      <w:r>
        <w:t>Guía para instalar, configurar y ejecutar API, Web, Mobile y analítica con servicios autorizados. Distingue el uso de una BD existente de una instalación independiente. El despliegue productivo aún no está certificado.</w:t>
      </w:r>
    </w:p>
    <w:p>
      <w:pPr>
        <w:pStyle w:val="Ttulo2"/>
      </w:pPr>
      <w:r>
        <w:t>Versiones de referencia</w:t>
      </w:r>
    </w:p>
    <w:p>
      <w:pPr>
        <w:widowControl/>
      </w:pPr>
      <w:r>
        <w:t>Node 24.15.0 y npm 11.12.1; Python 3.13.14; React Web 18.3.1 y Vite 5.4.21; Expo 57.0.22 y React Native 0.86.3. PostgreSQL del respaldo: servidor 18.1 y pg_dump 18.3; extracción de DDL con cliente 18.</w:t>
      </w:r>
    </w:p>
    <w:p>
      <w:pPr>
        <w:widowControl/>
      </w:pPr>
      <w:r>
        <w:t xml:space="preserve">Versiones del entorno previamente documentado y manifiestos; instalación limpia no repetida. Conservar lockfiles y requirements.txt. V2.0 identifica la entrega documental; los paquetes declaran 1.0.0 y el Login Mobile muestra 3.0.0, una etiqueta pendiente de unificación.</w:t>
      </w:r>
    </w:p>
    <w:p>
      <w:pPr>
        <w:pStyle w:val="Ttulo1"/>
        <w:pageBreakBefore/>
        <w:spacing w:before="0"/>
      </w:pPr>
      <w:r>
        <w:t>1 Instalación local y configuración</w:t>
      </w:r>
    </w:p>
    <w:p>
      <w:pPr>
        <w:widowControl/>
      </w:pPr>
      <w:r>
        <w:t>Abrir PowerShell en la raíz PMP_Suite_V2.0, que contiene 03_Backend, 04_Frontend, 06_ModelosIA, 07_Mobile y shared. Conservar shared junto a los módulos. Comandos documentados para una instalación nueva; la instalación limpia no se repitió en este corte.</w:t>
      </w:r>
    </w:p>
    <w:p>
      <w:pPr>
        <w:widowControl/>
        <w:spacing w:after="120" w:line="240" w:lineRule="auto"/>
      </w:pPr>
      <w:r>
        <w:rPr>
          <w:rFonts w:ascii="Consolas" w:hAnsi="Consolas"/>
          <w:sz w:val="18"/>
        </w:rPr>
        <w:t>cd 03_Backend/pmp-api</w:t>
        <w:br/>
        <w:t>npm.cmd ci --ignore-scripts --no-audit --no-fund</w:t>
        <w:br/>
        <w:t>cd ../../04_Frontend</w:t>
        <w:br/>
        <w:t>npm.cmd ci --ignore-scripts --no-audit --no-fund</w:t>
        <w:br/>
        <w:t>cd ../07_Mobile</w:t>
        <w:br/>
        <w:t>npm.cmd ci --ignore-scripts --no-audit --no-fund</w:t>
      </w:r>
    </w:p>
    <w:p>
      <w:pPr>
        <w:widowControl/>
      </w:pPr>
      <w:r>
        <w:t>Si falla un paquete nativo, identificar el script requerido antes de habilitarlo. En otra terminal, desde la raíz:</w:t>
      </w:r>
    </w:p>
    <w:p>
      <w:pPr>
        <w:widowControl/>
        <w:spacing w:after="120" w:line="240" w:lineRule="auto"/>
      </w:pPr>
      <w:r>
        <w:rPr>
          <w:rFonts w:ascii="Consolas" w:hAnsi="Consolas"/>
          <w:sz w:val="18"/>
        </w:rPr>
        <w:t>python -m venv 06_ModelosIA/.venv</w:t>
        <w:br/>
        <w:t>$pyIA = './06_ModelosIA/.venv/Scripts/python.exe'</w:t>
        <w:br/>
        <w:t>&amp; $pyIA -m pip install -r 06_ModelosIA/requirements.txt</w:t>
        <w:br/>
        <w:t>&amp; $pyIA -m pip check</w:t>
      </w:r>
    </w:p>
    <w:p>
      <w:pPr>
        <w:widowControl/>
      </w:pPr>
      <w:r>
        <w:t>Copiar .env.example a .env solo donde exista el ejemplo y no haya configuración previa. Conservar la configuración autorizada en la copia actual. No incorporar credencial Firebase Admin ni secretos de servidor a VITE_* o EXPO_PUBLIC_*.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7848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84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Configuración necesaria sin valores secretos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Backend</w:t>
            </w:r>
          </w:p>
        </w:tc>
        <w:tc>
          <w:tcPr>
            <w:tcW w:type="dxa" w:w="78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PORT, DATABASE_URL y FIREBASE_SERVICE_ACCOUNT_PATH, con ruta privada autorizada.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</w:t>
            </w:r>
          </w:p>
        </w:tc>
        <w:tc>
          <w:tcPr>
            <w:tcW w:type="dxa" w:w="78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VITE_CORE_URL: raíz API sin /api; VITE_API_URL: fallback. VITE_FB_API_KEY, VITE_FB_AUTH_DOMAIN, VITE_FB_PROJECT_ID, VITE_FB_STORAGE_BUCKET, VITE_FB_MESSAGING_SENDER_ID, VITE_FB_APP_ID: configuración cliente.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</w:t>
            </w:r>
          </w:p>
        </w:tc>
        <w:tc>
          <w:tcPr>
            <w:tcW w:type="dxa" w:w="78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EXPO_PUBLIC_API_URL con /api. Configuración Firebase cliente existente en src/services/firebase.js.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Python</w:t>
            </w:r>
          </w:p>
        </w:tc>
        <w:tc>
          <w:tcPr>
            <w:tcW w:type="dxa" w:w="78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Venv en 06_ModelosIA/.venv. Lee .env de Backend y respeta variables del proceso; no requiere servidor separado.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Firebase autentica; usuario activo y rol se resuelven en PostgreSQL. Una cuenta Firebase por sí sola no concede acceso. No se cambian permisos o identidades para eludir errores de instalación.</w:t>
      </w:r>
    </w:p>
    <w:p>
      <w:pPr>
        <w:pStyle w:val="Ttulo1"/>
        <w:pageBreakBefore/>
        <w:spacing w:before="0"/>
      </w:pPr>
      <w:r>
        <w:t>2 Datos arranque y acceso</w:t>
      </w:r>
    </w:p>
    <w:p>
      <w:pPr>
        <w:pStyle w:val="Ttulo2"/>
      </w:pPr>
      <w:r>
        <w:t>BD existente e instalación independiente</w:t>
      </w:r>
    </w:p>
    <w:p>
      <w:pPr>
        <w:widowControl/>
      </w:pPr>
      <w:r>
        <w:t>BD existente: conservar conexión y cuentas autorizadas. No ejecutar schema_actual.sql, seeds ni migraciones para arrancar. Confirmar operaciones en los clientes puede escribir en servicios compartidos; una copia del código no los aísla.</w:t>
      </w:r>
    </w:p>
    <w:p>
      <w:pPr>
        <w:widowControl/>
      </w:pPr>
      <w:r>
        <w:t>Instalación independiente: definir destino nuevo, propietario/permisos y proyecto Firebase separados. Faltan catálogos aprobados de estados, ubicaciones/correspondencias, terminales/PST/buses, repuestos e identidades vinculadas. No inventar IDs consumidos por el código. schema_actual.sql contiene estructura sin filas; PPMP_Suite_V2.0.sql es un respaldo custom, no texto para psql. El documento de BD explica la extracción y sus límites.</w:t>
      </w:r>
    </w:p>
    <w:p>
      <w:pPr>
        <w:pStyle w:val="Ttulo2"/>
      </w:pPr>
      <w:r>
        <w:t>Tres terminales independientes desde la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756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Comandos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· 4000</w:t>
            </w:r>
          </w:p>
        </w:tc>
        <w:tc>
          <w:tcPr>
            <w:tcW w:type="dxa" w:w="75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03_Backend/pmp-api</w:t>
              <w:br/>
              <w:t>npm.cmd run dev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Web · 5173</w:t>
            </w:r>
          </w:p>
        </w:tc>
        <w:tc>
          <w:tcPr>
            <w:tcW w:type="dxa" w:w="756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04_Frontend</w:t>
              <w:br/>
              <w:t>npm.cmd run dev -- --host 127.0.0.1 --strictPort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Expo · 8081</w:t>
            </w:r>
          </w:p>
        </w:tc>
        <w:tc>
          <w:tcPr>
            <w:tcW w:type="dxa" w:w="756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cd 07_Mobile</w:t>
              <w:br/>
              <w:t>npm.cmd start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Accesos: http://localhost:5173; API http://localhost:4000/api/health; contrato http://localhost:4000/docs. Health confirma el proceso, no la integración de BD/Firebase. Detener cada proceso con Ctrl+C en su propia terminal; no cerrar procesos ajenos.</w:t>
      </w:r>
    </w:p>
    <w:p>
      <w:pPr>
        <w:widowControl/>
      </w:pPr>
      <w:r>
        <w:t xml:space="preserve">Teléfono: EXPO_PUBLIC_API_URL usa http://IPv4-del-PC:4000/api y una IP LAN o VPN autorizada accesible. localhost apunta al propio teléfono; 10.0.2.2 es un caso de emulador Android. Un error de red no demuestra contraseña incorrecta. Comprobar URL efectiva y cliente compatible con Expo SDK 57; aplicar cambios de configuración mediante reinicio coordinado, sin alterar servicios ajenos.</w:t>
      </w:r>
    </w:p>
    <w:p>
      <w:pPr>
        <w:pStyle w:val="Ttulo2"/>
      </w:pPr>
      <w:r>
        <w:t>Comprobaciones técnicas documentadas</w:t>
      </w:r>
    </w:p>
    <w:p>
      <w:pPr>
        <w:widowControl/>
      </w:pPr>
      <w:r>
        <w:t xml:space="preserve">El corte reportado del 18-10-2026 informa TypeScript/Vite correctos y exportación Expo para Android e iOS con destinos temporales, API ficticia, modo offline y sin cargar configuración privada. No acredita compilación nativa ni instalación en dispositivos. El Plan de Pruebas, sección 1, conserva totales, comandos y límites; no se reejecutaron en esta actualización.</w:t>
      </w:r>
    </w:p>
    <w:p>
      <w:pPr>
        <w:widowControl/>
      </w:pPr>
      <w:hyperlink r:id="rId15">
        <w:r>
          <w:rPr>
            <w:color w:val="1565C0"/>
          </w:rPr>
          <w:t>Comprobaciones de instalación y límites · Plan de Pruebas</w:t>
        </w:r>
      </w:hyperlink>
    </w:p>
    <w:p>
      <w:pPr>
        <w:widowControl/>
      </w:pPr>
      <w:hyperlink r:id="rId16">
        <w:r>
          <w:rPr>
            <w:color w:val="1565C0"/>
          </w:rPr>
          <w:t>Modelo del esquema actual</w:t>
        </w:r>
      </w:hyperlink>
    </w:p>
    <w:p>
      <w:pPr>
        <w:pStyle w:val="Ttulo1"/>
        <w:pageBreakBefore/>
        <w:spacing w:before="0"/>
      </w:pPr>
      <w:r>
        <w:t>3 Respaldo recuperación y diagnóstico</w:t>
      </w:r>
    </w:p>
    <w:p>
      <w:pPr>
        <w:pStyle w:val="Ttulo2"/>
      </w:pPr>
      <w:r>
        <w:t>Respaldo y recuperación</w:t>
      </w:r>
    </w:p>
    <w:p>
      <w:pPr>
        <w:widowControl/>
      </w:pPr>
      <w:r>
        <w:t>El responsable autorizado identifica instancia, versión y ventana; obtiene respaldo lógico custom con pg_dump mediante configuración privada y lo almacena fuera de la entrega con retención acordada. Registrar fecha, versión, tamaño y checksum; pg_restore --list comprueba legibilidad del archivo, no recuperación. Conservar código/lockfiles y configuración privada por separado.</w:t>
      </w:r>
    </w:p>
    <w:p>
      <w:pPr>
        <w:widowControl/>
      </w:pPr>
      <w:r>
        <w:t>Ensayo: preparar base nueva aislada; comprobar explícitamente destino, propietario, permisos y extensiones; restaurar allí con pg_restore. Comparar estructura, catálogos, conteos autorizados e integridad referencial; después comprobar acceso por rol con una copia separada de la aplicación. Medir duración y punto de recuperación. No sustituir producción ni redirigir clientes durante el ensayo.</w:t>
      </w:r>
    </w:p>
    <w:p>
      <w:pPr>
        <w:widowControl/>
      </w:pPr>
      <w:r>
        <w:t xml:space="preserve">Pendientes: custodio, frecuencia/retención, cifrado, RPO/RTO, destino, identidades iniciales, instalación limpia y restauración probada. No hay recuperación certificada. La extracción de DDL pertenece a una revisión anterior; esta actualización solo contrastó el esquema existente, sin restaurar ni leer filas operacionales.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6840"/>
      </w:tblGrid>
      <w:tr>
        <w:trPr>
          <w:cantSplit/>
          <w:tblHeader/>
        </w:trPr>
        <w:tc>
          <w:tcPr>
            <w:tcW w:type="dxa" w:w="252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6840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Comprobación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Puerto ocupado / no inicia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Directorio, dependencias, puerto y ruta de credencial; no imprimir secretos.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 sin API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Raíz sin /api; reiniciar Vite tras cambiar variables.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 sin conexión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 xml:space="preserve">IP LAN/VPN vigente, sufijo /api, API accesible y cliente Expo compatible. Si Metro conserva una URL anterior, revisar configuración efectiva y coordinar su reinicio.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401 / 403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Reautenticar; revisar cuenta activa, vínculo y rol con administrador autorizado.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409 / 422</w:t>
            </w:r>
          </w:p>
        </w:tc>
        <w:tc>
          <w:tcPr>
            <w:tcW w:type="dxa" w:w="6840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Revisión concurrente, estado, identidad y evidencia vigente.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IA 503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Venv y pip check; acceso autorizado a datos. No presentar el fallo como cero.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La analítica se solicita al abrir la vista o actualizar: GET /api/ai/operational-insights y GET /api/ai/predictive-report. ai.read admite Admin, Gerente, Jefe Lab y Logística. Son agregaciones y heurísticas, sin modelo predictivo entrenado.</w:t>
      </w:r>
    </w:p>
    <w:p>
      <w:pPr>
        <w:pStyle w:val="Ttulo2"/>
        <w:pageBreakBefore/>
      </w:pPr>
      <w:r>
        <w:t xml:space="preserve">Limitaciones actuales de sesión y operación</w:t>
      </w:r>
    </w:p>
    <w:p>
      <w:pPr>
        <w:widowControl/>
      </w:pPr>
      <w:r>
        <w:t xml:space="preserve">Mobile inicializa Firebase con getAuth sin persistencia React Native explícita, por lo que no se acredita conservar sesión al cerrar la aplicación. AsyncStorage ya está declarado; su integración es un pendiente de código. El aviso global de sesión excluye el borde superior de Safe Area y requiere comprobación física. El redirect custom/ios de Expo es distinto de un fallo de credenciales.</w:t>
      </w:r>
    </w:p>
    <w:p>
      <w:pPr>
        <w:widowControl/>
      </w:pPr>
      <w:r>
        <w:t xml:space="preserve">El informe Excel de historial para Jefatura presenta un contrato incompatible y sigue pendiente. El mensaje Mobile de devolución debe distinguir retorno de recepción efectiva. Administración de usuarios conserva rutas divergentes, validaciones de contraseña distintas y fallos de sincronización no resueltos. No cambiar identidades, controles o datos para sortear estos problemas; consultar Plan de Pruebas y matriz antes de aceptar esos recorridos.</w:t>
      </w:r>
    </w:p>
    <w:p>
      <w:pPr>
        <w:widowControl/>
      </w:pPr>
      <w:r>
        <w:t xml:space="preserve">Antes del recorrido real, designar responsable y verificar entorno separado, cuentas, datos y dispositivos autorizados. La guía de 10_Pruebas y su ZIP contienen contraseñas en claro; requieren saneamiento antes de compartirse mediante un encargo separado. No incluir contraseñas ni claves privadas en este paquete. Build y exportación no cierran aceptación operacional ni académica.</w:t>
      </w:r>
    </w:p>
    <w:p>
      <w:pPr>
        <w:widowControl/>
      </w:pPr>
      <w:hyperlink r:id="rId19">
        <w:r>
          <w:rPr>
            <w:color w:val="1565C0"/>
          </w:rPr>
          <w:t>Resultados reportados y pendientes · Plan de Pruebas</w:t>
        </w:r>
      </w:hyperlink>
    </w:p>
    <w:sectPr w:rsidR="0089403C" w:rsidSect="00034616">
      <w:headerReference w:type="default" r:id="rId9"/>
      <w:footerReference w:type="default" r:id="rId10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BCD8" w14:textId="77777777" w:rsidR="00946B34" w:rsidRDefault="00946B34">
      <w:pPr>
        <w:spacing w:after="0" w:line="240" w:lineRule="auto"/>
      </w:pPr>
      <w:r>
        <w:separator/>
      </w:r>
    </w:p>
  </w:endnote>
  <w:endnote w:type="continuationSeparator" w:id="0">
    <w:p w14:paraId="49C289A3" w14:textId="77777777" w:rsidR="00946B34" w:rsidRDefault="0094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3B5C" w14:textId="77777777" w:rsidR="0089403C" w:rsidRDefault="005352CF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853A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C5D2" w14:textId="77777777" w:rsidR="00946B34" w:rsidRDefault="00946B34">
      <w:pPr>
        <w:spacing w:after="0" w:line="240" w:lineRule="auto"/>
      </w:pPr>
      <w:r>
        <w:separator/>
      </w:r>
    </w:p>
  </w:footnote>
  <w:footnote w:type="continuationSeparator" w:id="0">
    <w:p w14:paraId="659DFDB1" w14:textId="77777777" w:rsidR="00946B34" w:rsidRDefault="00946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F3EA" w14:textId="77777777" w:rsidR="0089403C" w:rsidRDefault="005352CF">
    <w:pPr>
      <w:pStyle w:val="Encabezado"/>
    </w:pPr>
    <w:r>
      <w:rPr>
        <w:rFonts w:eastAsia="Calibri"/>
        <w:b/>
        <w:color w:val="5F6B76"/>
        <w:sz w:val="17"/>
      </w:rPr>
      <w:t>PMP SUITE  |  CAPSTONE     Manual Técnico</w:t>
    </w:r>
    <w:r>
      <w:rPr>
        <w:rFonts w:eastAsia="Calibri"/>
        <w:color w:val="5F6B76"/>
        <w:sz w:val="17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05846">
    <w:abstractNumId w:val="8"/>
  </w:num>
  <w:num w:numId="2" w16cid:durableId="382408800">
    <w:abstractNumId w:val="6"/>
  </w:num>
  <w:num w:numId="3" w16cid:durableId="2067292303">
    <w:abstractNumId w:val="5"/>
  </w:num>
  <w:num w:numId="4" w16cid:durableId="1954631624">
    <w:abstractNumId w:val="4"/>
  </w:num>
  <w:num w:numId="5" w16cid:durableId="100928039">
    <w:abstractNumId w:val="7"/>
  </w:num>
  <w:num w:numId="6" w16cid:durableId="396051502">
    <w:abstractNumId w:val="3"/>
  </w:num>
  <w:num w:numId="7" w16cid:durableId="2016419229">
    <w:abstractNumId w:val="2"/>
  </w:num>
  <w:num w:numId="8" w16cid:durableId="192771929">
    <w:abstractNumId w:val="1"/>
  </w:num>
  <w:num w:numId="9" w16cid:durableId="138459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508"/>
    <w:rsid w:val="00326F90"/>
    <w:rsid w:val="005352CF"/>
    <w:rsid w:val="00795FA6"/>
    <w:rsid w:val="00853AFC"/>
    <w:rsid w:val="0089403C"/>
    <w:rsid w:val="00946B34"/>
    <w:rsid w:val="00A659BA"/>
    <w:rsid w:val="00AA1D8D"/>
    <w:rsid w:val="00B47730"/>
    <w:rsid w:val="00BC1DB6"/>
    <w:rsid w:val="00BC4B9F"/>
    <w:rsid w:val="00CB0664"/>
    <w:rsid w:val="00CD35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7C95D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853AFC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853A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yperlink" Target="03_Plan_Pruebas_PMP_Suite_V2.0.docx" TargetMode="External"/><Relationship Id="rId16" Type="http://schemas.openxmlformats.org/officeDocument/2006/relationships/hyperlink" Target="07_Modelo_Base_Datos_PMP_Suite_V2.0.docx" TargetMode="External"/><Relationship Id="rId19" Type="http://schemas.openxmlformats.org/officeDocument/2006/relationships/hyperlink" Target="03_Plan_Pruebas_PMP_Suite_V2.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5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Despliegue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6</cp:revision>
  <dcterms:modified xsi:type="dcterms:W3CDTF">2026-10-19T15:16:45Z</dcterms:modified>
  <cp:category/>
  <cp:version>2.0</cp:version>
</cp:coreProperties>
</file>